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01" w:rsidRDefault="00282501" w:rsidP="00282501">
      <w:pPr>
        <w:jc w:val="both"/>
        <w:rPr>
          <w:rFonts w:ascii="Century Gothic" w:hAnsi="Century Gothic"/>
          <w:b/>
          <w:i/>
          <w:sz w:val="32"/>
          <w:szCs w:val="32"/>
        </w:rPr>
      </w:pPr>
      <w:r w:rsidRPr="007972C8">
        <w:rPr>
          <w:rFonts w:ascii="Century Gothic" w:hAnsi="Century Gothic"/>
          <w:b/>
          <w:i/>
          <w:sz w:val="32"/>
          <w:szCs w:val="32"/>
        </w:rPr>
        <w:t>UNA FORMA DE INTERVEN</w:t>
      </w:r>
      <w:r>
        <w:rPr>
          <w:rFonts w:ascii="Century Gothic" w:hAnsi="Century Gothic"/>
          <w:b/>
          <w:i/>
          <w:sz w:val="32"/>
          <w:szCs w:val="32"/>
        </w:rPr>
        <w:t>IR</w:t>
      </w:r>
      <w:r w:rsidRPr="007972C8">
        <w:rPr>
          <w:rFonts w:ascii="Century Gothic" w:hAnsi="Century Gothic"/>
          <w:b/>
          <w:i/>
          <w:sz w:val="32"/>
          <w:szCs w:val="32"/>
        </w:rPr>
        <w:t xml:space="preserve"> </w:t>
      </w:r>
    </w:p>
    <w:p w:rsidR="00282501" w:rsidRDefault="00282501" w:rsidP="00282501">
      <w:pPr>
        <w:jc w:val="both"/>
        <w:rPr>
          <w:rFonts w:ascii="Century Gothic" w:hAnsi="Century Gothic"/>
          <w:b/>
          <w:i/>
          <w:sz w:val="32"/>
          <w:szCs w:val="32"/>
        </w:rPr>
      </w:pPr>
      <w:r w:rsidRPr="007972C8">
        <w:rPr>
          <w:rFonts w:ascii="Century Gothic" w:hAnsi="Century Gothic"/>
          <w:b/>
          <w:i/>
          <w:sz w:val="32"/>
          <w:szCs w:val="32"/>
        </w:rPr>
        <w:t>EN EL MUNDO.</w:t>
      </w:r>
    </w:p>
    <w:p w:rsidR="00282501" w:rsidRDefault="00282501" w:rsidP="00282501">
      <w:pPr>
        <w:jc w:val="both"/>
        <w:rPr>
          <w:rFonts w:ascii="Century Gothic" w:hAnsi="Century Gothic"/>
          <w:b/>
          <w:i/>
          <w:sz w:val="32"/>
          <w:szCs w:val="32"/>
        </w:rPr>
      </w:pPr>
    </w:p>
    <w:p w:rsidR="00282501" w:rsidRPr="003B0967" w:rsidRDefault="00282501" w:rsidP="00282501">
      <w:pPr>
        <w:spacing w:line="360" w:lineRule="auto"/>
        <w:jc w:val="both"/>
        <w:rPr>
          <w:rFonts w:ascii="Century Gothic" w:hAnsi="Century Gothic" w:cs="Arial"/>
          <w:b/>
          <w:i/>
          <w:sz w:val="22"/>
          <w:szCs w:val="22"/>
        </w:rPr>
      </w:pPr>
      <w:r w:rsidRPr="003B0967">
        <w:rPr>
          <w:rFonts w:ascii="Century Gothic" w:hAnsi="Century Gothic" w:cs="Arial"/>
          <w:b/>
          <w:i/>
          <w:sz w:val="22"/>
          <w:szCs w:val="22"/>
        </w:rPr>
        <w:t xml:space="preserve">PEDAGOGÍA PARA UN  MUNDO QUE PUJA POR SER… </w:t>
      </w:r>
    </w:p>
    <w:p w:rsidR="00282501" w:rsidRPr="003B0967" w:rsidRDefault="00282501" w:rsidP="00282501">
      <w:pPr>
        <w:spacing w:line="360" w:lineRule="auto"/>
        <w:jc w:val="both"/>
        <w:rPr>
          <w:rFonts w:ascii="Century Gothic" w:hAnsi="Century Gothic"/>
          <w:b/>
          <w:i/>
          <w:sz w:val="22"/>
          <w:szCs w:val="22"/>
        </w:rPr>
      </w:pPr>
    </w:p>
    <w:p w:rsidR="00282501" w:rsidRPr="003B0967" w:rsidRDefault="00282501" w:rsidP="00282501">
      <w:pPr>
        <w:spacing w:line="360" w:lineRule="auto"/>
        <w:jc w:val="right"/>
        <w:rPr>
          <w:rFonts w:ascii="Century Gothic" w:hAnsi="Century Gothic"/>
          <w:b/>
          <w:i/>
          <w:sz w:val="22"/>
          <w:szCs w:val="22"/>
        </w:rPr>
      </w:pPr>
    </w:p>
    <w:p w:rsidR="00282501" w:rsidRPr="003B0967" w:rsidRDefault="00282501" w:rsidP="00282501">
      <w:pPr>
        <w:spacing w:line="360" w:lineRule="auto"/>
        <w:jc w:val="right"/>
        <w:rPr>
          <w:rFonts w:ascii="Century Gothic" w:hAnsi="Century Gothic"/>
          <w:b/>
          <w:i/>
          <w:sz w:val="22"/>
          <w:szCs w:val="22"/>
        </w:rPr>
      </w:pPr>
      <w:r w:rsidRPr="003B0967">
        <w:rPr>
          <w:rFonts w:ascii="Century Gothic" w:hAnsi="Century Gothic"/>
          <w:b/>
          <w:i/>
          <w:sz w:val="22"/>
          <w:szCs w:val="22"/>
        </w:rPr>
        <w:t>Alfredo Ghiso</w:t>
      </w:r>
      <w:r w:rsidRPr="003B0967">
        <w:rPr>
          <w:rStyle w:val="Refdenotaalpie"/>
          <w:rFonts w:ascii="Century Gothic" w:hAnsi="Century Gothic"/>
          <w:b/>
          <w:i/>
          <w:sz w:val="22"/>
          <w:szCs w:val="22"/>
        </w:rPr>
        <w:footnoteReference w:customMarkFollows="1" w:id="1"/>
        <w:sym w:font="Symbol" w:char="F02A"/>
      </w:r>
    </w:p>
    <w:p w:rsidR="00282501" w:rsidRPr="00D911AF" w:rsidRDefault="00282501" w:rsidP="00282501">
      <w:pPr>
        <w:jc w:val="right"/>
        <w:rPr>
          <w:rFonts w:ascii="Century Gothic" w:hAnsi="Century Gothic"/>
          <w:i/>
          <w:sz w:val="20"/>
          <w:szCs w:val="20"/>
        </w:rPr>
      </w:pPr>
      <w:r w:rsidRPr="00D911AF">
        <w:rPr>
          <w:rFonts w:ascii="Century Gothic" w:hAnsi="Century Gothic"/>
          <w:i/>
          <w:sz w:val="20"/>
          <w:szCs w:val="20"/>
        </w:rPr>
        <w:t>En memoria  de Paulo Freire.</w:t>
      </w:r>
    </w:p>
    <w:p w:rsidR="00282501" w:rsidRPr="003B0967" w:rsidRDefault="00282501" w:rsidP="00282501">
      <w:pPr>
        <w:spacing w:line="360" w:lineRule="auto"/>
        <w:jc w:val="right"/>
        <w:rPr>
          <w:rFonts w:ascii="Century Gothic" w:hAnsi="Century Gothic"/>
          <w:b/>
          <w:i/>
          <w:sz w:val="22"/>
          <w:szCs w:val="22"/>
        </w:rPr>
      </w:pPr>
    </w:p>
    <w:p w:rsidR="00282501" w:rsidRPr="003B0967" w:rsidRDefault="00282501" w:rsidP="00282501">
      <w:pPr>
        <w:spacing w:line="360" w:lineRule="auto"/>
        <w:jc w:val="right"/>
        <w:rPr>
          <w:rFonts w:ascii="Century Gothic" w:hAnsi="Century Gothic"/>
          <w:b/>
          <w:i/>
          <w:sz w:val="22"/>
          <w:szCs w:val="22"/>
        </w:rPr>
      </w:pPr>
    </w:p>
    <w:p w:rsidR="00282501" w:rsidRPr="003B0967" w:rsidRDefault="00282501" w:rsidP="00282501">
      <w:pPr>
        <w:spacing w:line="360" w:lineRule="auto"/>
        <w:jc w:val="right"/>
        <w:rPr>
          <w:rFonts w:ascii="Century Gothic" w:hAnsi="Century Gothic"/>
          <w:b/>
          <w:i/>
          <w:sz w:val="22"/>
          <w:szCs w:val="22"/>
        </w:rPr>
      </w:pPr>
      <w:r w:rsidRPr="003B0967">
        <w:rPr>
          <w:rFonts w:ascii="Century Gothic" w:hAnsi="Century Gothic"/>
          <w:b/>
          <w:i/>
          <w:sz w:val="22"/>
          <w:szCs w:val="22"/>
        </w:rPr>
        <w:t>Desconfiaré de quienes me digan,</w:t>
      </w:r>
    </w:p>
    <w:p w:rsidR="00282501" w:rsidRPr="003B0967" w:rsidRDefault="00282501" w:rsidP="00282501">
      <w:pPr>
        <w:spacing w:line="360" w:lineRule="auto"/>
        <w:jc w:val="right"/>
        <w:rPr>
          <w:rFonts w:ascii="Century Gothic" w:hAnsi="Century Gothic"/>
          <w:b/>
          <w:i/>
          <w:sz w:val="22"/>
          <w:szCs w:val="22"/>
        </w:rPr>
      </w:pPr>
      <w:r w:rsidRPr="003B0967">
        <w:rPr>
          <w:rFonts w:ascii="Century Gothic" w:hAnsi="Century Gothic"/>
          <w:b/>
          <w:i/>
          <w:sz w:val="22"/>
          <w:szCs w:val="22"/>
        </w:rPr>
        <w:t>En voz baja y precavidos:</w:t>
      </w:r>
    </w:p>
    <w:p w:rsidR="00282501" w:rsidRPr="003B0967" w:rsidRDefault="00282501" w:rsidP="00282501">
      <w:pPr>
        <w:spacing w:line="360" w:lineRule="auto"/>
        <w:jc w:val="right"/>
        <w:rPr>
          <w:rFonts w:ascii="Century Gothic" w:hAnsi="Century Gothic"/>
          <w:b/>
          <w:i/>
          <w:sz w:val="22"/>
          <w:szCs w:val="22"/>
        </w:rPr>
      </w:pPr>
      <w:r w:rsidRPr="003B0967">
        <w:rPr>
          <w:rFonts w:ascii="Century Gothic" w:hAnsi="Century Gothic"/>
          <w:b/>
          <w:i/>
          <w:sz w:val="22"/>
          <w:szCs w:val="22"/>
        </w:rPr>
        <w:t>Es peligroso hacer.</w:t>
      </w:r>
    </w:p>
    <w:p w:rsidR="00282501" w:rsidRPr="003B0967" w:rsidRDefault="00282501" w:rsidP="00282501">
      <w:pPr>
        <w:spacing w:line="360" w:lineRule="auto"/>
        <w:jc w:val="right"/>
        <w:rPr>
          <w:rFonts w:ascii="Century Gothic" w:hAnsi="Century Gothic"/>
          <w:b/>
          <w:i/>
          <w:sz w:val="22"/>
          <w:szCs w:val="22"/>
        </w:rPr>
      </w:pPr>
      <w:r w:rsidRPr="003B0967">
        <w:rPr>
          <w:rFonts w:ascii="Century Gothic" w:hAnsi="Century Gothic"/>
          <w:b/>
          <w:i/>
          <w:sz w:val="22"/>
          <w:szCs w:val="22"/>
        </w:rPr>
        <w:t>Es peligroso hablar.</w:t>
      </w:r>
    </w:p>
    <w:p w:rsidR="00282501" w:rsidRPr="003B0967" w:rsidRDefault="00282501" w:rsidP="00282501">
      <w:pPr>
        <w:spacing w:line="360" w:lineRule="auto"/>
        <w:jc w:val="right"/>
        <w:rPr>
          <w:rFonts w:ascii="Century Gothic" w:hAnsi="Century Gothic"/>
          <w:b/>
          <w:i/>
          <w:sz w:val="22"/>
          <w:szCs w:val="22"/>
        </w:rPr>
      </w:pPr>
      <w:r w:rsidRPr="003B0967">
        <w:rPr>
          <w:rFonts w:ascii="Century Gothic" w:hAnsi="Century Gothic"/>
          <w:b/>
          <w:i/>
          <w:sz w:val="22"/>
          <w:szCs w:val="22"/>
        </w:rPr>
        <w:t>Es peligroso andar.</w:t>
      </w:r>
    </w:p>
    <w:p w:rsidR="00282501" w:rsidRPr="003B0967" w:rsidRDefault="00282501" w:rsidP="00282501">
      <w:pPr>
        <w:spacing w:line="360" w:lineRule="auto"/>
        <w:jc w:val="right"/>
        <w:rPr>
          <w:rFonts w:ascii="Century Gothic" w:hAnsi="Century Gothic"/>
          <w:b/>
          <w:i/>
          <w:sz w:val="22"/>
          <w:szCs w:val="22"/>
        </w:rPr>
      </w:pPr>
      <w:r w:rsidRPr="003B0967">
        <w:rPr>
          <w:rFonts w:ascii="Century Gothic" w:hAnsi="Century Gothic"/>
          <w:b/>
          <w:i/>
          <w:sz w:val="22"/>
          <w:szCs w:val="22"/>
        </w:rPr>
        <w:t>Es peligroso esperar en la forma que tu esperas…</w:t>
      </w:r>
    </w:p>
    <w:p w:rsidR="00282501" w:rsidRPr="003B0967" w:rsidRDefault="00282501" w:rsidP="00282501">
      <w:pPr>
        <w:jc w:val="right"/>
        <w:rPr>
          <w:rFonts w:ascii="Century Gothic" w:hAnsi="Century Gothic"/>
          <w:b/>
          <w:i/>
          <w:sz w:val="22"/>
          <w:szCs w:val="22"/>
        </w:rPr>
      </w:pPr>
      <w:r w:rsidRPr="003B0967">
        <w:rPr>
          <w:rFonts w:ascii="Century Gothic" w:hAnsi="Century Gothic"/>
          <w:b/>
          <w:i/>
          <w:sz w:val="22"/>
          <w:szCs w:val="22"/>
        </w:rPr>
        <w:t>P. Freire</w:t>
      </w:r>
    </w:p>
    <w:p w:rsidR="00282501" w:rsidRPr="003B0967" w:rsidRDefault="00282501" w:rsidP="00282501">
      <w:pPr>
        <w:ind w:left="7788"/>
        <w:rPr>
          <w:rFonts w:ascii="Century Gothic" w:hAnsi="Century Gothic"/>
          <w:b/>
          <w:i/>
          <w:sz w:val="22"/>
          <w:szCs w:val="22"/>
        </w:rPr>
      </w:pPr>
    </w:p>
    <w:p w:rsidR="00282501" w:rsidRPr="003B0967" w:rsidRDefault="00282501" w:rsidP="00282501">
      <w:pPr>
        <w:ind w:left="7788"/>
        <w:rPr>
          <w:rFonts w:ascii="Century Gothic" w:hAnsi="Century Gothic"/>
          <w:b/>
          <w:i/>
          <w:sz w:val="22"/>
          <w:szCs w:val="22"/>
        </w:rPr>
      </w:pPr>
    </w:p>
    <w:p w:rsidR="00282501" w:rsidRPr="003B0967" w:rsidRDefault="00282501" w:rsidP="00282501">
      <w:pPr>
        <w:ind w:left="7788"/>
        <w:rPr>
          <w:rFonts w:ascii="Century Gothic" w:hAnsi="Century Gothic"/>
          <w:b/>
          <w:i/>
          <w:sz w:val="22"/>
          <w:szCs w:val="22"/>
        </w:rPr>
      </w:pPr>
    </w:p>
    <w:p w:rsidR="00282501" w:rsidRPr="003B0967" w:rsidRDefault="00282501" w:rsidP="00282501">
      <w:pPr>
        <w:ind w:left="7788"/>
        <w:rPr>
          <w:rFonts w:ascii="Century Gothic" w:hAnsi="Century Gothic"/>
          <w:b/>
          <w:i/>
          <w:sz w:val="22"/>
          <w:szCs w:val="22"/>
        </w:rPr>
      </w:pPr>
    </w:p>
    <w:p w:rsidR="00282501" w:rsidRPr="003B0967" w:rsidRDefault="00282501" w:rsidP="00282501">
      <w:pPr>
        <w:spacing w:line="360" w:lineRule="auto"/>
        <w:jc w:val="both"/>
        <w:rPr>
          <w:rFonts w:ascii="Century Gothic" w:hAnsi="Century Gothic"/>
          <w:sz w:val="22"/>
          <w:szCs w:val="22"/>
        </w:rPr>
      </w:pPr>
      <w:r w:rsidRPr="003B0967">
        <w:rPr>
          <w:rFonts w:ascii="Century Gothic" w:hAnsi="Century Gothic"/>
          <w:sz w:val="22"/>
          <w:szCs w:val="22"/>
        </w:rPr>
        <w:t>Paulo Freire señalaba que: “Una unidad epocal se caracteriza por el conjunto de ideas, concepciones, esperanzas, dudas, valores, desafíos en interacción dialéctica con sus contrarios, en la búsqueda de la plenitud. La representación concreta de muchas de estas ideas, de estos valores, de estas concepciones y esperanzas, así como los obstáculos  al ser más de los hombres, constituyen los temas de la época.”</w:t>
      </w:r>
      <w:r w:rsidRPr="003B0967">
        <w:rPr>
          <w:rStyle w:val="Refdenotaalpie"/>
          <w:rFonts w:ascii="Century Gothic" w:hAnsi="Century Gothic"/>
          <w:sz w:val="22"/>
          <w:szCs w:val="22"/>
        </w:rPr>
        <w:footnoteReference w:id="2"/>
      </w:r>
    </w:p>
    <w:p w:rsidR="00282501" w:rsidRPr="003B0967" w:rsidRDefault="00282501" w:rsidP="00282501">
      <w:pPr>
        <w:spacing w:line="360" w:lineRule="auto"/>
        <w:jc w:val="both"/>
        <w:rPr>
          <w:rFonts w:ascii="Century Gothic" w:hAnsi="Century Gothic"/>
          <w:sz w:val="22"/>
          <w:szCs w:val="22"/>
        </w:rPr>
      </w:pPr>
    </w:p>
    <w:p w:rsidR="00282501" w:rsidRPr="003B0967" w:rsidRDefault="00282501" w:rsidP="00282501">
      <w:pPr>
        <w:spacing w:line="360" w:lineRule="auto"/>
        <w:jc w:val="both"/>
        <w:rPr>
          <w:rFonts w:ascii="Century Gothic" w:hAnsi="Century Gothic"/>
          <w:sz w:val="22"/>
          <w:szCs w:val="22"/>
        </w:rPr>
      </w:pPr>
      <w:r w:rsidRPr="003B0967">
        <w:rPr>
          <w:rFonts w:ascii="Century Gothic" w:hAnsi="Century Gothic"/>
          <w:sz w:val="22"/>
          <w:szCs w:val="22"/>
        </w:rPr>
        <w:t xml:space="preserve">Hoy, la </w:t>
      </w:r>
      <w:r w:rsidRPr="003B0967">
        <w:rPr>
          <w:rFonts w:ascii="Century Gothic" w:hAnsi="Century Gothic"/>
          <w:i/>
          <w:sz w:val="22"/>
          <w:szCs w:val="22"/>
        </w:rPr>
        <w:t xml:space="preserve"> “unidad epocal</w:t>
      </w:r>
      <w:r w:rsidRPr="003B0967">
        <w:rPr>
          <w:rFonts w:ascii="Century Gothic" w:hAnsi="Century Gothic"/>
          <w:sz w:val="22"/>
          <w:szCs w:val="22"/>
        </w:rPr>
        <w:t xml:space="preserve">” está caracterizada por ideas y concepciones de vida y una serie valores  que son socializados por distintos medios: el mercado, las instituciones y las tecnologías de la información y comunicación masivas; </w:t>
      </w:r>
      <w:r w:rsidRPr="003B0967">
        <w:rPr>
          <w:rFonts w:ascii="Century Gothic" w:hAnsi="Century Gothic"/>
          <w:sz w:val="22"/>
          <w:szCs w:val="22"/>
        </w:rPr>
        <w:lastRenderedPageBreak/>
        <w:t>situación esta,  que se nos presenta desafiante en sus dimensiones social, cultural, ambiental, económica y política. Hoy, en otras palabras, enfrentamos los retos que nos presenta el modelo de desarrollo neoliberal.</w:t>
      </w:r>
    </w:p>
    <w:p w:rsidR="00282501" w:rsidRPr="003B0967" w:rsidRDefault="00282501" w:rsidP="00282501">
      <w:pPr>
        <w:spacing w:line="360" w:lineRule="auto"/>
        <w:jc w:val="both"/>
        <w:rPr>
          <w:rFonts w:ascii="Century Gothic" w:hAnsi="Century Gothic"/>
          <w:sz w:val="22"/>
          <w:szCs w:val="22"/>
        </w:rPr>
      </w:pPr>
    </w:p>
    <w:p w:rsidR="00282501" w:rsidRPr="003B0967" w:rsidRDefault="00282501" w:rsidP="00282501">
      <w:pPr>
        <w:spacing w:line="360" w:lineRule="auto"/>
        <w:jc w:val="both"/>
        <w:rPr>
          <w:rFonts w:ascii="Century Gothic" w:hAnsi="Century Gothic"/>
          <w:sz w:val="22"/>
          <w:szCs w:val="22"/>
        </w:rPr>
      </w:pPr>
      <w:r w:rsidRPr="003B0967">
        <w:rPr>
          <w:rFonts w:ascii="Century Gothic" w:hAnsi="Century Gothic"/>
          <w:sz w:val="22"/>
          <w:szCs w:val="22"/>
        </w:rPr>
        <w:t xml:space="preserve">Si una unidad epocal se caracteriza por el conjunto de ideas, concepciones, esperanzas, dudas, valores, desafíos y estos a la vez constituyen los temas de la época, podríamos decir que también configuran e identifican los referentes y contenidos de las propuestas pedagógicas que, dialécticamente, se debaten en ese tiempo social. </w:t>
      </w:r>
    </w:p>
    <w:p w:rsidR="00282501" w:rsidRPr="003B0967" w:rsidRDefault="00282501" w:rsidP="00282501">
      <w:pPr>
        <w:spacing w:line="360" w:lineRule="auto"/>
        <w:jc w:val="both"/>
        <w:rPr>
          <w:rFonts w:ascii="Century Gothic" w:hAnsi="Century Gothic"/>
          <w:sz w:val="22"/>
          <w:szCs w:val="22"/>
        </w:rPr>
      </w:pPr>
    </w:p>
    <w:p w:rsidR="00282501" w:rsidRPr="003B0967" w:rsidRDefault="00282501" w:rsidP="00282501">
      <w:pPr>
        <w:spacing w:line="360" w:lineRule="auto"/>
        <w:jc w:val="both"/>
        <w:rPr>
          <w:rFonts w:ascii="Century Gothic" w:hAnsi="Century Gothic"/>
          <w:sz w:val="22"/>
          <w:szCs w:val="22"/>
        </w:rPr>
      </w:pPr>
      <w:r w:rsidRPr="003B0967">
        <w:rPr>
          <w:rFonts w:ascii="Century Gothic" w:hAnsi="Century Gothic"/>
          <w:sz w:val="22"/>
          <w:szCs w:val="22"/>
        </w:rPr>
        <w:t>Nuestra época está signada por una pedagogía, la que impone el neoliberalismo al envolver las instituciones y nuestra vida cotidiana, al condicionar y determinar los procesos de constitución de subjetividades imponiendo a las personas  un modo de interacción  entre ellas, de estas con los bienes materiales y simbólicos (conocimiento, cultura), con las entidades y con  el medio ambiente.</w:t>
      </w:r>
    </w:p>
    <w:p w:rsidR="00282501" w:rsidRPr="003B0967" w:rsidRDefault="00282501" w:rsidP="00282501">
      <w:pPr>
        <w:spacing w:line="360" w:lineRule="auto"/>
        <w:jc w:val="both"/>
        <w:rPr>
          <w:rFonts w:ascii="Century Gothic" w:hAnsi="Century Gothic"/>
          <w:sz w:val="22"/>
          <w:szCs w:val="22"/>
        </w:rPr>
      </w:pPr>
    </w:p>
    <w:p w:rsidR="00282501" w:rsidRPr="003B0967" w:rsidRDefault="00282501" w:rsidP="00282501">
      <w:pPr>
        <w:spacing w:line="480" w:lineRule="auto"/>
        <w:jc w:val="both"/>
        <w:rPr>
          <w:rFonts w:ascii="Century Gothic" w:hAnsi="Century Gothic"/>
          <w:i/>
          <w:sz w:val="22"/>
          <w:szCs w:val="22"/>
        </w:rPr>
      </w:pPr>
      <w:r w:rsidRPr="003B0967">
        <w:rPr>
          <w:rFonts w:ascii="Century Gothic" w:hAnsi="Century Gothic"/>
          <w:sz w:val="22"/>
          <w:szCs w:val="22"/>
        </w:rPr>
        <w:t xml:space="preserve">Para enfrentar las  </w:t>
      </w:r>
      <w:r w:rsidRPr="003B0967">
        <w:rPr>
          <w:rFonts w:ascii="Century Gothic" w:hAnsi="Century Gothic"/>
          <w:i/>
          <w:sz w:val="22"/>
          <w:szCs w:val="22"/>
        </w:rPr>
        <w:t>“situaciones límites”</w:t>
      </w:r>
      <w:r w:rsidRPr="003B0967">
        <w:rPr>
          <w:rFonts w:ascii="Century Gothic" w:hAnsi="Century Gothic"/>
          <w:sz w:val="22"/>
          <w:szCs w:val="22"/>
        </w:rPr>
        <w:t xml:space="preserve"> que se presentan como </w:t>
      </w:r>
      <w:r w:rsidRPr="003B0967">
        <w:rPr>
          <w:rFonts w:ascii="Century Gothic" w:hAnsi="Century Gothic"/>
          <w:i/>
          <w:sz w:val="22"/>
          <w:szCs w:val="22"/>
        </w:rPr>
        <w:t xml:space="preserve">“determinantes  históricas, aplastantes, frente a las cuales no les cabe otra alternativa, sino el adaptarse a ellas.” </w:t>
      </w:r>
      <w:r w:rsidRPr="003B0967">
        <w:rPr>
          <w:rStyle w:val="Refdenotaalpie"/>
          <w:rFonts w:ascii="Century Gothic" w:hAnsi="Century Gothic"/>
          <w:i/>
          <w:sz w:val="22"/>
          <w:szCs w:val="22"/>
        </w:rPr>
        <w:footnoteReference w:id="3"/>
      </w:r>
      <w:r w:rsidRPr="003B0967">
        <w:rPr>
          <w:rFonts w:ascii="Century Gothic" w:hAnsi="Century Gothic"/>
          <w:sz w:val="22"/>
          <w:szCs w:val="22"/>
        </w:rPr>
        <w:t xml:space="preserve">, se requiere entre otras cosas desarrollar dos tareas pedagógicas marcadas por </w:t>
      </w:r>
      <w:r w:rsidRPr="003B0967">
        <w:rPr>
          <w:rFonts w:ascii="Century Gothic" w:hAnsi="Century Gothic"/>
          <w:i/>
          <w:sz w:val="22"/>
          <w:szCs w:val="22"/>
        </w:rPr>
        <w:t>“la visión crítica y la dinámica de la realidad que empeñándose a favor de su descubrimiento, desenmascara su mitificación y busca la plena realización de la tarea humana: la transformación constante de la realidad para la liberación humana”</w:t>
      </w:r>
      <w:r w:rsidRPr="003B0967">
        <w:rPr>
          <w:rStyle w:val="Refdenotaalpie"/>
          <w:rFonts w:ascii="Century Gothic" w:hAnsi="Century Gothic"/>
          <w:i/>
          <w:sz w:val="22"/>
          <w:szCs w:val="22"/>
        </w:rPr>
        <w:footnoteReference w:id="4"/>
      </w:r>
      <w:r w:rsidRPr="003B0967">
        <w:rPr>
          <w:rFonts w:ascii="Century Gothic" w:hAnsi="Century Gothic"/>
          <w:i/>
          <w:sz w:val="22"/>
          <w:szCs w:val="22"/>
        </w:rPr>
        <w:t xml:space="preserve"> </w:t>
      </w:r>
      <w:r w:rsidRPr="003B0967">
        <w:rPr>
          <w:rFonts w:ascii="Century Gothic" w:hAnsi="Century Gothic"/>
          <w:sz w:val="22"/>
          <w:szCs w:val="22"/>
        </w:rPr>
        <w:t xml:space="preserve">Este es, según Freire,  uno de los modos como las personas  llegan a trascender las situaciones y a descubrir y divisar más allá de ellas y en relación dialéctica con ellas un  </w:t>
      </w:r>
      <w:r w:rsidRPr="003B0967">
        <w:rPr>
          <w:rFonts w:ascii="Century Gothic" w:hAnsi="Century Gothic"/>
          <w:i/>
          <w:sz w:val="22"/>
          <w:szCs w:val="22"/>
        </w:rPr>
        <w:t>“inédito viable”.</w:t>
      </w:r>
    </w:p>
    <w:p w:rsidR="00282501" w:rsidRPr="003B0967" w:rsidRDefault="00282501" w:rsidP="00282501">
      <w:pPr>
        <w:spacing w:line="480" w:lineRule="auto"/>
        <w:jc w:val="both"/>
        <w:rPr>
          <w:rFonts w:ascii="Century Gothic" w:hAnsi="Century Gothic"/>
          <w:i/>
          <w:sz w:val="22"/>
          <w:szCs w:val="22"/>
        </w:rPr>
      </w:pPr>
    </w:p>
    <w:p w:rsidR="00282501" w:rsidRPr="003B0967" w:rsidRDefault="00282501" w:rsidP="00282501">
      <w:pPr>
        <w:spacing w:line="480" w:lineRule="auto"/>
        <w:jc w:val="both"/>
        <w:rPr>
          <w:rFonts w:ascii="Century Gothic" w:hAnsi="Century Gothic"/>
          <w:i/>
          <w:sz w:val="22"/>
          <w:szCs w:val="22"/>
        </w:rPr>
      </w:pPr>
      <w:r w:rsidRPr="003B0967">
        <w:rPr>
          <w:rFonts w:ascii="Century Gothic" w:hAnsi="Century Gothic"/>
          <w:sz w:val="22"/>
          <w:szCs w:val="22"/>
        </w:rPr>
        <w:lastRenderedPageBreak/>
        <w:t xml:space="preserve">Surgen entonces las preguntas </w:t>
      </w:r>
      <w:r w:rsidRPr="003B0967">
        <w:rPr>
          <w:rFonts w:ascii="Century Gothic" w:hAnsi="Century Gothic"/>
          <w:i/>
          <w:sz w:val="22"/>
          <w:szCs w:val="22"/>
        </w:rPr>
        <w:t>¿Qué hacer como educadores, al trabajar en un contexto así?  ¿Cómo hacerlo?  ¿Qué necesitamos saber nosotros los educadores para hacer posibles los primeros encuentros con esos hombres, mujeres, jóvenes y niños cuya  humanidad se niega y traiciona, cuya existencia está siendo oprimida?</w:t>
      </w:r>
      <w:r w:rsidRPr="003B0967">
        <w:rPr>
          <w:rStyle w:val="Refdenotaalpie"/>
          <w:rFonts w:ascii="Century Gothic" w:hAnsi="Century Gothic"/>
          <w:i/>
          <w:sz w:val="22"/>
          <w:szCs w:val="22"/>
        </w:rPr>
        <w:footnoteReference w:id="5"/>
      </w:r>
    </w:p>
    <w:p w:rsidR="00282501" w:rsidRPr="003B0967" w:rsidRDefault="00282501" w:rsidP="00282501">
      <w:pPr>
        <w:spacing w:line="480" w:lineRule="auto"/>
        <w:jc w:val="both"/>
        <w:rPr>
          <w:rFonts w:ascii="Century Gothic" w:hAnsi="Century Gothic"/>
          <w:i/>
          <w:sz w:val="22"/>
          <w:szCs w:val="22"/>
        </w:rPr>
      </w:pPr>
    </w:p>
    <w:p w:rsidR="00282501" w:rsidRPr="003B0967" w:rsidRDefault="00282501" w:rsidP="00282501">
      <w:pPr>
        <w:spacing w:line="480" w:lineRule="auto"/>
        <w:jc w:val="both"/>
        <w:rPr>
          <w:rFonts w:ascii="Century Gothic" w:hAnsi="Century Gothic"/>
          <w:sz w:val="22"/>
          <w:szCs w:val="22"/>
        </w:rPr>
      </w:pPr>
      <w:r w:rsidRPr="003B0967">
        <w:rPr>
          <w:rFonts w:ascii="Century Gothic" w:hAnsi="Century Gothic"/>
          <w:sz w:val="22"/>
          <w:szCs w:val="22"/>
        </w:rPr>
        <w:t>Queremos en este apunte, después de una breve caracterización  del contexto y de las implicaciones de éste en la constitución de subjetividades,  dar respuesta a estas preguntas retomando  y recreando algunas pistas pedagógicas que nos legara Paulo Freire.</w:t>
      </w:r>
    </w:p>
    <w:p w:rsidR="00282501" w:rsidRPr="003B0967" w:rsidRDefault="00282501" w:rsidP="00282501">
      <w:pPr>
        <w:spacing w:line="360" w:lineRule="auto"/>
        <w:jc w:val="both"/>
        <w:rPr>
          <w:rFonts w:ascii="Century Gothic" w:hAnsi="Century Gothic"/>
          <w:sz w:val="22"/>
          <w:szCs w:val="22"/>
        </w:rPr>
      </w:pPr>
    </w:p>
    <w:p w:rsidR="00282501" w:rsidRPr="003B0967" w:rsidRDefault="00282501" w:rsidP="00282501">
      <w:pPr>
        <w:spacing w:line="360" w:lineRule="auto"/>
        <w:jc w:val="both"/>
        <w:rPr>
          <w:rFonts w:ascii="Century Gothic" w:hAnsi="Century Gothic"/>
          <w:b/>
          <w:i/>
          <w:sz w:val="22"/>
          <w:szCs w:val="22"/>
        </w:rPr>
      </w:pPr>
    </w:p>
    <w:p w:rsidR="00282501" w:rsidRPr="003B0967" w:rsidRDefault="00282501" w:rsidP="00282501">
      <w:pPr>
        <w:jc w:val="both"/>
        <w:rPr>
          <w:rFonts w:ascii="Century Gothic" w:hAnsi="Century Gothic"/>
          <w:sz w:val="22"/>
          <w:szCs w:val="22"/>
        </w:rPr>
      </w:pPr>
    </w:p>
    <w:p w:rsidR="00282501" w:rsidRPr="003B0967" w:rsidRDefault="00282501" w:rsidP="00282501">
      <w:pPr>
        <w:jc w:val="both"/>
        <w:rPr>
          <w:rFonts w:ascii="Century Gothic" w:hAnsi="Century Gothic"/>
          <w:b/>
          <w:i/>
          <w:sz w:val="22"/>
          <w:szCs w:val="22"/>
        </w:rPr>
      </w:pPr>
      <w:r w:rsidRPr="003B0967">
        <w:rPr>
          <w:rFonts w:ascii="Century Gothic" w:hAnsi="Century Gothic"/>
          <w:b/>
          <w:i/>
          <w:sz w:val="22"/>
          <w:szCs w:val="22"/>
        </w:rPr>
        <w:t>PEDAGOGÍA NEOLIBERAL O PEDAGOGÍA DEL SILENCIO</w:t>
      </w:r>
    </w:p>
    <w:p w:rsidR="00282501" w:rsidRPr="003B0967" w:rsidRDefault="00282501" w:rsidP="00282501">
      <w:pPr>
        <w:jc w:val="both"/>
        <w:rPr>
          <w:rFonts w:ascii="Century Gothic" w:hAnsi="Century Gothic"/>
          <w:b/>
          <w:i/>
          <w:sz w:val="22"/>
          <w:szCs w:val="22"/>
        </w:rPr>
      </w:pPr>
    </w:p>
    <w:p w:rsidR="00282501" w:rsidRPr="003B0967" w:rsidRDefault="00282501" w:rsidP="00282501">
      <w:pPr>
        <w:jc w:val="both"/>
        <w:rPr>
          <w:rFonts w:ascii="Century Gothic" w:hAnsi="Century Gothic"/>
          <w:b/>
          <w:i/>
          <w:sz w:val="22"/>
          <w:szCs w:val="22"/>
        </w:rPr>
      </w:pPr>
    </w:p>
    <w:p w:rsidR="00282501" w:rsidRPr="003B0967" w:rsidRDefault="00282501" w:rsidP="00282501">
      <w:pPr>
        <w:spacing w:line="360" w:lineRule="auto"/>
        <w:jc w:val="both"/>
        <w:rPr>
          <w:rFonts w:ascii="Century Gothic" w:hAnsi="Century Gothic"/>
          <w:sz w:val="22"/>
          <w:szCs w:val="22"/>
          <w:lang w:val="es-ES_tradnl"/>
        </w:rPr>
      </w:pPr>
      <w:r w:rsidRPr="003B0967">
        <w:rPr>
          <w:rFonts w:ascii="Century Gothic" w:hAnsi="Century Gothic"/>
          <w:sz w:val="22"/>
          <w:szCs w:val="22"/>
        </w:rPr>
        <w:t>En nuestros países y ciudades, en nuestros campos y comunidades rurales  notamos el</w:t>
      </w:r>
      <w:r w:rsidRPr="003B0967">
        <w:rPr>
          <w:rFonts w:ascii="Century Gothic" w:hAnsi="Century Gothic"/>
          <w:sz w:val="22"/>
          <w:szCs w:val="22"/>
          <w:lang w:val="es-ES_tradnl"/>
        </w:rPr>
        <w:t xml:space="preserve"> deterioro de la calidad de vida, el desempleo, la informalización de las fuentes de trabajo, esto se une al deterioro de las ofertas de servicios públicos de salud, vivienda, educación y saneamiento ambiental. Este estado de cosas  sólo puede ser mantenido por mecanismos de  represión, control social y de restricciones  en la información y participación; silenciando lo diferente y encubriendo la desigualdad social.  Se pueden constatar  intentos  y prácticas sistemáticas de silenciamiento de lo diferente y de los excluidos e incluso se desarrollan mecanismos y dispositivos comunicacionales que convierten sujetos y  realidades  de injusticia en algo grotesco o ridículo.</w:t>
      </w:r>
      <w:r w:rsidRPr="003B0967">
        <w:rPr>
          <w:rStyle w:val="Refdenotaalpie"/>
          <w:rFonts w:ascii="Century Gothic" w:hAnsi="Century Gothic"/>
          <w:sz w:val="22"/>
          <w:szCs w:val="22"/>
          <w:lang w:val="es-ES_tradnl"/>
        </w:rPr>
        <w:footnoteReference w:id="6"/>
      </w:r>
    </w:p>
    <w:p w:rsidR="00282501" w:rsidRPr="003B0967" w:rsidRDefault="00282501" w:rsidP="00282501">
      <w:pPr>
        <w:spacing w:line="360" w:lineRule="auto"/>
        <w:jc w:val="both"/>
        <w:rPr>
          <w:rFonts w:ascii="Century Gothic" w:hAnsi="Century Gothic"/>
          <w:sz w:val="22"/>
          <w:szCs w:val="22"/>
          <w:lang w:val="es-ES_tradnl"/>
        </w:rPr>
      </w:pPr>
    </w:p>
    <w:p w:rsidR="00282501" w:rsidRPr="003B0967" w:rsidRDefault="00282501" w:rsidP="00282501">
      <w:pPr>
        <w:spacing w:line="360" w:lineRule="auto"/>
        <w:jc w:val="both"/>
        <w:rPr>
          <w:rFonts w:ascii="Century Gothic" w:hAnsi="Century Gothic"/>
          <w:sz w:val="22"/>
          <w:szCs w:val="22"/>
          <w:lang w:val="es-ES_tradnl"/>
        </w:rPr>
      </w:pPr>
      <w:r w:rsidRPr="003B0967">
        <w:rPr>
          <w:rFonts w:ascii="Century Gothic" w:hAnsi="Century Gothic"/>
          <w:sz w:val="22"/>
          <w:szCs w:val="22"/>
          <w:lang w:val="es-ES_tradnl"/>
        </w:rPr>
        <w:lastRenderedPageBreak/>
        <w:t>Otro recurso de control social es el de generar y mantener conflictos,  inseguridad y contradicciones en los sectores populares convirtiendo en victimarios a las victimas. Ellos además de sufrir los problemas aparecen  en la opinión pública como los causantes. Para el sistema es imposible esconder las realidades de injusticia y exclusión, por ello  se descontextualizan, se reubican, se reinterpretan para presentar a  las personas y a los grupos vulnerables y en riesgo social como culpables de sus propios problemas o incluso de los que se presentan en otros grupos socialmente más poderosos.</w:t>
      </w:r>
    </w:p>
    <w:p w:rsidR="00282501" w:rsidRPr="003B0967" w:rsidRDefault="00282501" w:rsidP="00282501">
      <w:pPr>
        <w:spacing w:line="360" w:lineRule="auto"/>
        <w:jc w:val="both"/>
        <w:rPr>
          <w:rFonts w:ascii="Century Gothic" w:hAnsi="Century Gothic"/>
          <w:sz w:val="22"/>
          <w:szCs w:val="22"/>
          <w:lang w:val="es-ES_tradnl"/>
        </w:rPr>
      </w:pPr>
    </w:p>
    <w:p w:rsidR="00282501" w:rsidRPr="003B0967" w:rsidRDefault="00282501" w:rsidP="00282501">
      <w:pPr>
        <w:spacing w:line="360" w:lineRule="auto"/>
        <w:jc w:val="both"/>
        <w:rPr>
          <w:rFonts w:ascii="Century Gothic" w:hAnsi="Century Gothic"/>
          <w:sz w:val="22"/>
          <w:szCs w:val="22"/>
          <w:lang w:val="es-ES_tradnl"/>
        </w:rPr>
      </w:pPr>
      <w:r w:rsidRPr="003B0967">
        <w:rPr>
          <w:rFonts w:ascii="Century Gothic" w:hAnsi="Century Gothic"/>
          <w:sz w:val="22"/>
          <w:szCs w:val="22"/>
          <w:lang w:val="es-ES_tradnl"/>
        </w:rPr>
        <w:t xml:space="preserve">El modelo neoliberal y sus tecnologías de control y castigo social están presentes en nuestros barrios, en la plaza de mercado, en los paraderos de bus, en la esquina donde dos informales pelean su lugar de trabajo, en nuestras casas…El sistema necesita  anclarse en la vida cotidiana para poder cooptarla, controlarla y neutralizar toda esperanza, creatividad, indignación y atisbo de resistencia. Es parasitando las dinámicas de socialización y sus contenidos, donde destruye, desfigura y construye  subjetividades portadoras de miedos a perder los bienes, el trabajo y la vida. </w:t>
      </w:r>
    </w:p>
    <w:p w:rsidR="00282501" w:rsidRPr="003B0967" w:rsidRDefault="00282501" w:rsidP="00282501">
      <w:pPr>
        <w:spacing w:line="360" w:lineRule="auto"/>
        <w:jc w:val="both"/>
        <w:rPr>
          <w:rFonts w:ascii="Century Gothic" w:hAnsi="Century Gothic"/>
          <w:sz w:val="22"/>
          <w:szCs w:val="22"/>
          <w:lang w:val="es-ES_tradnl"/>
        </w:rPr>
      </w:pPr>
    </w:p>
    <w:p w:rsidR="00282501" w:rsidRPr="003B0967" w:rsidRDefault="00282501" w:rsidP="00282501">
      <w:pPr>
        <w:spacing w:line="360" w:lineRule="auto"/>
        <w:jc w:val="both"/>
        <w:rPr>
          <w:rFonts w:ascii="Century Gothic" w:hAnsi="Century Gothic"/>
          <w:sz w:val="22"/>
          <w:szCs w:val="22"/>
          <w:lang w:val="es-ES_tradnl"/>
        </w:rPr>
      </w:pPr>
      <w:r w:rsidRPr="003B0967">
        <w:rPr>
          <w:rFonts w:ascii="Century Gothic" w:hAnsi="Century Gothic"/>
          <w:sz w:val="22"/>
          <w:szCs w:val="22"/>
          <w:lang w:val="es-ES_tradnl"/>
        </w:rPr>
        <w:t xml:space="preserve">Subjetividades sometidas a exclusiones  y convencidas de que nada puede ser y hacerse distinto,  de que las cosas son y serán así o peor; sometidas a ideologías que  propugnan la conveniencia de no alterar el actual estado de cosas, el modo de funcionar de las sociedades, bien porque éste es el mejor mundo de los posibles o bien porque es el único. Las personas entonces llegan a limitarse en sus aspiraciones al asumir que lo mejor es </w:t>
      </w:r>
      <w:r w:rsidRPr="003B0967">
        <w:rPr>
          <w:rFonts w:ascii="Century Gothic" w:hAnsi="Century Gothic"/>
          <w:i/>
          <w:sz w:val="22"/>
          <w:szCs w:val="22"/>
          <w:lang w:val="es-ES_tradnl"/>
        </w:rPr>
        <w:t>que me quede como estoy</w:t>
      </w:r>
      <w:r w:rsidRPr="003B0967">
        <w:rPr>
          <w:rFonts w:ascii="Century Gothic" w:hAnsi="Century Gothic"/>
          <w:sz w:val="22"/>
          <w:szCs w:val="22"/>
          <w:lang w:val="es-ES_tradnl"/>
        </w:rPr>
        <w:t xml:space="preserve"> o  </w:t>
      </w:r>
      <w:r w:rsidRPr="003B0967">
        <w:rPr>
          <w:rFonts w:ascii="Century Gothic" w:hAnsi="Century Gothic"/>
          <w:i/>
          <w:sz w:val="22"/>
          <w:szCs w:val="22"/>
          <w:lang w:val="es-ES_tradnl"/>
        </w:rPr>
        <w:t>que todo lo que tiene posibilidades de empeorar acabará haciéndolo</w:t>
      </w:r>
      <w:r w:rsidRPr="003B0967">
        <w:rPr>
          <w:rFonts w:ascii="Century Gothic" w:hAnsi="Century Gothic"/>
          <w:sz w:val="22"/>
          <w:szCs w:val="22"/>
          <w:lang w:val="es-ES_tradnl"/>
        </w:rPr>
        <w:t>.</w:t>
      </w:r>
    </w:p>
    <w:p w:rsidR="00282501" w:rsidRPr="003B0967" w:rsidRDefault="00282501" w:rsidP="00282501">
      <w:pPr>
        <w:spacing w:line="360" w:lineRule="auto"/>
        <w:jc w:val="both"/>
        <w:rPr>
          <w:rFonts w:ascii="Century Gothic" w:hAnsi="Century Gothic"/>
          <w:sz w:val="22"/>
          <w:szCs w:val="22"/>
          <w:lang w:val="es-ES_tradnl"/>
        </w:rPr>
      </w:pPr>
    </w:p>
    <w:p w:rsidR="00282501" w:rsidRPr="003B0967" w:rsidRDefault="00282501" w:rsidP="00282501">
      <w:pPr>
        <w:spacing w:line="360" w:lineRule="auto"/>
        <w:jc w:val="both"/>
        <w:rPr>
          <w:rFonts w:ascii="Century Gothic" w:hAnsi="Century Gothic"/>
          <w:i/>
          <w:sz w:val="22"/>
          <w:szCs w:val="22"/>
          <w:lang w:val="es-ES_tradnl"/>
        </w:rPr>
      </w:pPr>
      <w:r w:rsidRPr="003B0967">
        <w:rPr>
          <w:rFonts w:ascii="Century Gothic" w:hAnsi="Century Gothic"/>
          <w:sz w:val="22"/>
          <w:szCs w:val="22"/>
          <w:lang w:val="es-ES_tradnl"/>
        </w:rPr>
        <w:t xml:space="preserve">Como diría Freire  se </w:t>
      </w:r>
      <w:r w:rsidRPr="003B0967">
        <w:rPr>
          <w:rFonts w:ascii="Century Gothic" w:hAnsi="Century Gothic"/>
          <w:i/>
          <w:sz w:val="22"/>
          <w:szCs w:val="22"/>
          <w:u w:val="single"/>
          <w:lang w:val="es-ES_tradnl"/>
        </w:rPr>
        <w:t>desproblematiza el futuro</w:t>
      </w:r>
      <w:r w:rsidRPr="003B0967">
        <w:rPr>
          <w:rFonts w:ascii="Century Gothic" w:hAnsi="Century Gothic"/>
          <w:i/>
          <w:sz w:val="22"/>
          <w:szCs w:val="22"/>
          <w:lang w:val="es-ES_tradnl"/>
        </w:rPr>
        <w:t xml:space="preserve"> “en una </w:t>
      </w:r>
      <w:r w:rsidRPr="003B0967">
        <w:rPr>
          <w:rFonts w:ascii="Century Gothic" w:hAnsi="Century Gothic"/>
          <w:i/>
          <w:sz w:val="22"/>
          <w:szCs w:val="22"/>
          <w:u w:val="single"/>
          <w:lang w:val="es-ES_tradnl"/>
        </w:rPr>
        <w:t>comprensión de mecanisista de la  historia</w:t>
      </w:r>
      <w:r w:rsidRPr="003B0967">
        <w:rPr>
          <w:rFonts w:ascii="Century Gothic" w:hAnsi="Century Gothic"/>
          <w:i/>
          <w:sz w:val="22"/>
          <w:szCs w:val="22"/>
          <w:lang w:val="es-ES_tradnl"/>
        </w:rPr>
        <w:t xml:space="preserve">, de derechas o e izquierdas, lleva necesariamente  a la muerte o a la </w:t>
      </w:r>
      <w:r w:rsidRPr="003B0967">
        <w:rPr>
          <w:rFonts w:ascii="Century Gothic" w:hAnsi="Century Gothic"/>
          <w:i/>
          <w:sz w:val="22"/>
          <w:szCs w:val="22"/>
          <w:u w:val="single"/>
          <w:lang w:val="es-ES_tradnl"/>
        </w:rPr>
        <w:t>negación  autoritaria del sueño, de la utopía, de la esperanza.</w:t>
      </w:r>
      <w:r w:rsidRPr="003B0967">
        <w:rPr>
          <w:rFonts w:ascii="Century Gothic" w:hAnsi="Century Gothic"/>
          <w:i/>
          <w:sz w:val="22"/>
          <w:szCs w:val="22"/>
          <w:lang w:val="es-ES_tradnl"/>
        </w:rPr>
        <w:t xml:space="preserve"> En una comprensión mecanicista y por tanto determinista de la historia el futuro ya se conoce</w:t>
      </w:r>
      <w:r w:rsidRPr="003B0967">
        <w:rPr>
          <w:rFonts w:ascii="Century Gothic" w:hAnsi="Century Gothic"/>
          <w:i/>
          <w:sz w:val="22"/>
          <w:szCs w:val="22"/>
          <w:u w:val="single"/>
          <w:lang w:val="es-ES_tradnl"/>
        </w:rPr>
        <w:t>. La lucha por el futuro ya conocido a priori prescinde de la esperanza</w:t>
      </w:r>
      <w:r w:rsidRPr="003B0967">
        <w:rPr>
          <w:rFonts w:ascii="Century Gothic" w:hAnsi="Century Gothic"/>
          <w:i/>
          <w:sz w:val="22"/>
          <w:szCs w:val="22"/>
          <w:lang w:val="es-ES_tradnl"/>
        </w:rPr>
        <w:t xml:space="preserve">. La desproblematización del  futuro, con independencia  del nombre de quien se </w:t>
      </w:r>
      <w:r w:rsidRPr="003B0967">
        <w:rPr>
          <w:rFonts w:ascii="Century Gothic" w:hAnsi="Century Gothic"/>
          <w:i/>
          <w:sz w:val="22"/>
          <w:szCs w:val="22"/>
          <w:lang w:val="es-ES_tradnl"/>
        </w:rPr>
        <w:lastRenderedPageBreak/>
        <w:t xml:space="preserve">haga, es </w:t>
      </w:r>
      <w:r w:rsidRPr="003B0967">
        <w:rPr>
          <w:rFonts w:ascii="Century Gothic" w:hAnsi="Century Gothic"/>
          <w:i/>
          <w:sz w:val="22"/>
          <w:szCs w:val="22"/>
          <w:u w:val="single"/>
          <w:lang w:val="es-ES_tradnl"/>
        </w:rPr>
        <w:t>una ruptura con la naturaleza humana que se construye social e históricamente</w:t>
      </w:r>
      <w:r w:rsidRPr="003B0967">
        <w:rPr>
          <w:rFonts w:ascii="Century Gothic" w:hAnsi="Century Gothic"/>
          <w:i/>
          <w:sz w:val="22"/>
          <w:szCs w:val="22"/>
          <w:lang w:val="es-ES_tradnl"/>
        </w:rPr>
        <w:t>.”</w:t>
      </w:r>
      <w:r w:rsidRPr="003B0967">
        <w:rPr>
          <w:rStyle w:val="Refdenotaalpie"/>
          <w:rFonts w:ascii="Century Gothic" w:hAnsi="Century Gothic"/>
          <w:sz w:val="22"/>
          <w:szCs w:val="22"/>
          <w:lang w:val="es-ES_tradnl"/>
        </w:rPr>
        <w:footnoteReference w:id="7"/>
      </w:r>
    </w:p>
    <w:p w:rsidR="00282501" w:rsidRPr="003B0967" w:rsidRDefault="00282501" w:rsidP="00282501">
      <w:pPr>
        <w:spacing w:line="360" w:lineRule="auto"/>
        <w:jc w:val="both"/>
        <w:rPr>
          <w:rFonts w:ascii="Century Gothic" w:hAnsi="Century Gothic"/>
          <w:sz w:val="22"/>
          <w:szCs w:val="22"/>
          <w:lang w:val="es-ES_tradnl"/>
        </w:rPr>
      </w:pPr>
    </w:p>
    <w:p w:rsidR="00282501" w:rsidRPr="003B0967" w:rsidRDefault="00282501" w:rsidP="00282501">
      <w:pPr>
        <w:spacing w:line="360" w:lineRule="auto"/>
        <w:jc w:val="both"/>
        <w:rPr>
          <w:rFonts w:ascii="Century Gothic" w:hAnsi="Century Gothic"/>
          <w:sz w:val="22"/>
          <w:szCs w:val="22"/>
          <w:lang w:val="es-ES_tradnl"/>
        </w:rPr>
      </w:pPr>
      <w:r w:rsidRPr="003B0967">
        <w:rPr>
          <w:rFonts w:ascii="Century Gothic" w:hAnsi="Century Gothic"/>
          <w:sz w:val="22"/>
          <w:szCs w:val="22"/>
          <w:lang w:val="es-ES_tradnl"/>
        </w:rPr>
        <w:t xml:space="preserve">Subjetividades con baja autoestima, estigmatizadas, rechazadas, alteridades negadas y desconectadas social y culturalmente. Subjetividades que asumen la amenaza, la  violencia y la agresión como modos de sobrevivencia,  a sabiendas que van por el camino de la autodestrucción; pero que al estar convencidas de que </w:t>
      </w:r>
      <w:r w:rsidRPr="003B0967">
        <w:rPr>
          <w:rFonts w:ascii="Century Gothic" w:hAnsi="Century Gothic"/>
          <w:i/>
          <w:sz w:val="22"/>
          <w:szCs w:val="22"/>
          <w:lang w:val="es-ES_tradnl"/>
        </w:rPr>
        <w:t>“no nacieron para semillas”</w:t>
      </w:r>
      <w:r w:rsidRPr="003B0967">
        <w:rPr>
          <w:rFonts w:ascii="Century Gothic" w:hAnsi="Century Gothic"/>
          <w:sz w:val="22"/>
          <w:szCs w:val="22"/>
          <w:lang w:val="es-ES_tradnl"/>
        </w:rPr>
        <w:t xml:space="preserve">  (no son portadoras ni de historia, ni de futuro), persisten en el empeño de ser eliminados.</w:t>
      </w:r>
    </w:p>
    <w:p w:rsidR="00282501" w:rsidRPr="003B0967" w:rsidRDefault="00282501" w:rsidP="00282501">
      <w:pPr>
        <w:spacing w:line="360" w:lineRule="auto"/>
        <w:jc w:val="both"/>
        <w:rPr>
          <w:rFonts w:ascii="Century Gothic" w:hAnsi="Century Gothic"/>
          <w:sz w:val="22"/>
          <w:szCs w:val="22"/>
          <w:lang w:val="es-ES_tradnl"/>
        </w:rPr>
      </w:pPr>
    </w:p>
    <w:p w:rsidR="00282501" w:rsidRPr="003B0967" w:rsidRDefault="00282501" w:rsidP="00282501">
      <w:pPr>
        <w:spacing w:line="360" w:lineRule="auto"/>
        <w:jc w:val="both"/>
        <w:rPr>
          <w:rFonts w:ascii="Century Gothic" w:hAnsi="Century Gothic"/>
          <w:sz w:val="22"/>
          <w:szCs w:val="22"/>
          <w:lang w:val="es-ES_tradnl"/>
        </w:rPr>
      </w:pPr>
      <w:r w:rsidRPr="003B0967">
        <w:rPr>
          <w:rFonts w:ascii="Century Gothic" w:hAnsi="Century Gothic"/>
          <w:sz w:val="22"/>
          <w:szCs w:val="22"/>
          <w:lang w:val="es-ES_tradnl"/>
        </w:rPr>
        <w:t xml:space="preserve">Sumemos a estas maneras de experimentar la cotidianidad  los comportamientos apáticos, pasivos o simplemente de espectadores a los que nos tienen acostumbrados los medios de comunicación, los “realitis” , el mundo de la farándula o de la pasarela…sujetos aislados, solos, desconectados buscando imitar un modelo creado por el mercado, que ahondará más la  frustración y la baja autoestima. Modelos a imitar superficiales, caracterizados por una marca, objeto de deseo y motivo de posteriores decepciones. </w:t>
      </w:r>
    </w:p>
    <w:p w:rsidR="00282501" w:rsidRPr="003B0967" w:rsidRDefault="00282501" w:rsidP="00282501">
      <w:pPr>
        <w:spacing w:line="360" w:lineRule="auto"/>
        <w:jc w:val="both"/>
        <w:rPr>
          <w:rFonts w:ascii="Century Gothic" w:hAnsi="Century Gothic"/>
          <w:sz w:val="22"/>
          <w:szCs w:val="22"/>
          <w:lang w:val="es-ES_tradnl"/>
        </w:rPr>
      </w:pPr>
    </w:p>
    <w:p w:rsidR="00282501" w:rsidRPr="003B0967" w:rsidRDefault="00282501" w:rsidP="00282501">
      <w:pPr>
        <w:spacing w:line="360" w:lineRule="auto"/>
        <w:jc w:val="both"/>
        <w:rPr>
          <w:rFonts w:ascii="Century Gothic" w:hAnsi="Century Gothic"/>
          <w:i/>
          <w:sz w:val="22"/>
          <w:szCs w:val="22"/>
          <w:lang w:val="es-ES_tradnl"/>
        </w:rPr>
      </w:pPr>
      <w:r w:rsidRPr="003B0967">
        <w:rPr>
          <w:rFonts w:ascii="Century Gothic" w:hAnsi="Century Gothic"/>
          <w:sz w:val="22"/>
          <w:szCs w:val="22"/>
          <w:lang w:val="es-ES_tradnl"/>
        </w:rPr>
        <w:t>Subjetividades formadas en la carrera desenfrenada que impone el aparecer, el mostrarse sin caer en el ridículo. Subjetividades marcadas por la lucha envilecida por la sobrevivencia, por el conseguir los dineros para lograr la dieta básica,  pero soñando con  las fantasías que el mercado  impone en la ambición de las personas</w:t>
      </w:r>
      <w:r w:rsidRPr="003B0967">
        <w:rPr>
          <w:rFonts w:ascii="Century Gothic" w:hAnsi="Century Gothic"/>
          <w:i/>
          <w:sz w:val="22"/>
          <w:szCs w:val="22"/>
          <w:lang w:val="es-ES_tradnl"/>
        </w:rPr>
        <w:t>. “En una palabra se recurre a estrategias de naturalización de las situaciones de injusticia. Algo que en la actualidad se ve favorecido por la hegemonía de las ideologías del individualismo…”</w:t>
      </w:r>
      <w:r w:rsidRPr="003B0967">
        <w:rPr>
          <w:rStyle w:val="Refdenotaalpie"/>
          <w:rFonts w:ascii="Century Gothic" w:hAnsi="Century Gothic"/>
          <w:i/>
          <w:sz w:val="22"/>
          <w:szCs w:val="22"/>
          <w:lang w:val="es-ES_tradnl"/>
        </w:rPr>
        <w:footnoteReference w:id="8"/>
      </w:r>
      <w:r w:rsidRPr="003B0967">
        <w:rPr>
          <w:rFonts w:ascii="Century Gothic" w:hAnsi="Century Gothic"/>
          <w:i/>
          <w:sz w:val="22"/>
          <w:szCs w:val="22"/>
          <w:lang w:val="es-ES_tradnl"/>
        </w:rPr>
        <w:t xml:space="preserve"> </w:t>
      </w:r>
    </w:p>
    <w:p w:rsidR="00282501" w:rsidRPr="003B0967" w:rsidRDefault="00282501" w:rsidP="00282501">
      <w:pPr>
        <w:spacing w:line="360" w:lineRule="auto"/>
        <w:jc w:val="both"/>
        <w:rPr>
          <w:rFonts w:ascii="Century Gothic" w:hAnsi="Century Gothic"/>
          <w:sz w:val="22"/>
          <w:szCs w:val="22"/>
          <w:lang w:val="es-ES_tradnl"/>
        </w:rPr>
      </w:pPr>
    </w:p>
    <w:p w:rsidR="00282501" w:rsidRPr="003B0967" w:rsidRDefault="00282501" w:rsidP="00282501">
      <w:pPr>
        <w:spacing w:line="360" w:lineRule="auto"/>
        <w:jc w:val="both"/>
        <w:rPr>
          <w:rFonts w:ascii="Century Gothic" w:hAnsi="Century Gothic"/>
          <w:sz w:val="22"/>
          <w:szCs w:val="22"/>
          <w:lang w:val="es-ES_tradnl"/>
        </w:rPr>
      </w:pPr>
      <w:r w:rsidRPr="003B0967">
        <w:rPr>
          <w:rFonts w:ascii="Century Gothic" w:hAnsi="Century Gothic"/>
          <w:sz w:val="22"/>
          <w:szCs w:val="22"/>
          <w:lang w:val="es-ES_tradnl"/>
        </w:rPr>
        <w:t xml:space="preserve">Es así como en esta cotidianidad invadida y conquistada, nos socializamos en un pensamiento único y con un lenguaje que aparenta ser globalizado, estandardizado y utilizado por aquellos que se sienten ganadores. Pensamiento y lenguaje que nos llevan a naturalizar las exclusiones, a perder la capacidad de </w:t>
      </w:r>
      <w:r w:rsidRPr="003B0967">
        <w:rPr>
          <w:rFonts w:ascii="Century Gothic" w:hAnsi="Century Gothic"/>
          <w:sz w:val="22"/>
          <w:szCs w:val="22"/>
          <w:lang w:val="es-ES_tradnl"/>
        </w:rPr>
        <w:lastRenderedPageBreak/>
        <w:t>indignarnos, a  admitir la injusticia social como el medio para generar riquezas anulando las diferencias y diversidades en aras de una homogeneidad que no amenace, que no extrañe y que sea cómplice con acciones corruptas, clientelistas, arbitrarias y violentas guiadas por la ley universal de la oferta y la demanda. Pensamiento y lenguaje  sin ética, que construye discursos en torno a la competencia, la eficacia, los estándares de calidad, la ganancia, la adaptabilidad, la privatización y  el  libre mercado.</w:t>
      </w:r>
    </w:p>
    <w:p w:rsidR="00282501" w:rsidRPr="003B0967" w:rsidRDefault="00282501" w:rsidP="00282501">
      <w:pPr>
        <w:spacing w:line="360" w:lineRule="auto"/>
        <w:jc w:val="both"/>
        <w:rPr>
          <w:rFonts w:ascii="Century Gothic" w:hAnsi="Century Gothic"/>
          <w:sz w:val="22"/>
          <w:szCs w:val="22"/>
          <w:lang w:val="es-ES_tradnl"/>
        </w:rPr>
      </w:pPr>
      <w:r w:rsidRPr="003B0967">
        <w:rPr>
          <w:rFonts w:ascii="Century Gothic" w:hAnsi="Century Gothic"/>
          <w:sz w:val="22"/>
          <w:szCs w:val="22"/>
          <w:lang w:val="es-ES_tradnl"/>
        </w:rPr>
        <w:t xml:space="preserve"> </w:t>
      </w:r>
    </w:p>
    <w:p w:rsidR="00282501" w:rsidRPr="003B0967" w:rsidRDefault="00282501" w:rsidP="00282501">
      <w:pPr>
        <w:spacing w:line="360" w:lineRule="auto"/>
        <w:jc w:val="both"/>
        <w:rPr>
          <w:rFonts w:ascii="Century Gothic" w:hAnsi="Century Gothic"/>
          <w:sz w:val="22"/>
          <w:szCs w:val="22"/>
          <w:lang w:val="es-ES_tradnl"/>
        </w:rPr>
      </w:pPr>
      <w:r w:rsidRPr="003B0967">
        <w:rPr>
          <w:rFonts w:ascii="Century Gothic" w:hAnsi="Century Gothic"/>
          <w:sz w:val="22"/>
          <w:szCs w:val="22"/>
          <w:lang w:val="es-ES_tradnl"/>
        </w:rPr>
        <w:t xml:space="preserve">Un pensamiento y un lenguaje que no busca desarrollar poderes en las personas. Pensamiento y lenguaje  que no son recursos para enfrentar el desencanto, la paralización, la dominación, la opresión. Pensamiento y lenguaje  que sitúa a las personas en una relación de dependencia,  de marginalidad, de indignidad, y silencio. Pensamiento y lenguaje que  disocia, que arremete, que lleva a sentir al otro como amenaza, como competidor y no como una posibilidad, una oportunidad. Pensamiento y lenguaje que vuelve mercancía  la vida, la salud, la honra, la lealtad, la amistad, la dignidad. Pensamiento y lenguaje que cosifica la cultura, los ideales y la persona. </w:t>
      </w:r>
    </w:p>
    <w:p w:rsidR="00282501" w:rsidRPr="003B0967" w:rsidRDefault="00282501" w:rsidP="00282501">
      <w:pPr>
        <w:spacing w:line="360" w:lineRule="auto"/>
        <w:jc w:val="both"/>
        <w:rPr>
          <w:rFonts w:ascii="Century Gothic" w:hAnsi="Century Gothic"/>
          <w:sz w:val="22"/>
          <w:szCs w:val="22"/>
          <w:lang w:val="es-ES_tradnl"/>
        </w:rPr>
      </w:pPr>
    </w:p>
    <w:p w:rsidR="00282501" w:rsidRPr="003B0967" w:rsidRDefault="00282501" w:rsidP="00282501">
      <w:pPr>
        <w:spacing w:line="360" w:lineRule="auto"/>
        <w:jc w:val="both"/>
        <w:rPr>
          <w:rFonts w:ascii="Century Gothic" w:hAnsi="Century Gothic"/>
          <w:sz w:val="22"/>
          <w:szCs w:val="22"/>
          <w:lang w:val="es-ES_tradnl"/>
        </w:rPr>
      </w:pPr>
      <w:r w:rsidRPr="003B0967">
        <w:rPr>
          <w:rFonts w:ascii="Century Gothic" w:hAnsi="Century Gothic"/>
          <w:sz w:val="22"/>
          <w:szCs w:val="22"/>
          <w:lang w:val="es-ES_tradnl"/>
        </w:rPr>
        <w:t>Por ello decimos que el pensamiento y lenguaje que soporta y que se  trasmite en la socialización, aplicación e imposición del modelo neoliberal (modelo profundamente ideológico) no busca desarrollar poderes en las personas; porque no los impulsa a la esperanza, no los mueve a la autonomía, no les repone la condición y necesidad de indignarse, no convoca  al encuentro dialógico empoderador (en el buen sentido de la palabra)</w:t>
      </w:r>
    </w:p>
    <w:p w:rsidR="00282501" w:rsidRPr="003B0967" w:rsidRDefault="00282501" w:rsidP="00282501">
      <w:pPr>
        <w:spacing w:line="360" w:lineRule="auto"/>
        <w:jc w:val="both"/>
        <w:rPr>
          <w:rFonts w:ascii="Century Gothic" w:hAnsi="Century Gothic"/>
          <w:sz w:val="22"/>
          <w:szCs w:val="22"/>
          <w:lang w:val="es-ES_tradnl"/>
        </w:rPr>
      </w:pPr>
    </w:p>
    <w:p w:rsidR="00282501" w:rsidRPr="003B0967" w:rsidRDefault="00282501" w:rsidP="00282501">
      <w:pPr>
        <w:spacing w:line="360" w:lineRule="auto"/>
        <w:jc w:val="both"/>
        <w:rPr>
          <w:rFonts w:ascii="Century Gothic" w:hAnsi="Century Gothic"/>
          <w:sz w:val="22"/>
          <w:szCs w:val="22"/>
          <w:lang w:val="es-ES_tradnl"/>
        </w:rPr>
      </w:pPr>
      <w:r w:rsidRPr="003B0967">
        <w:rPr>
          <w:rFonts w:ascii="Century Gothic" w:hAnsi="Century Gothic"/>
          <w:sz w:val="22"/>
          <w:szCs w:val="22"/>
          <w:lang w:val="es-ES_tradnl"/>
        </w:rPr>
        <w:t xml:space="preserve">Mecanismos políticos, ideológicos, económicos y tecnológicos se unen para desintegrar y desarticular sueños, sentidos, utopías, subjetividades, conocimientos, relatos, historias. Todo ello se despolitiza, todo ello se convierte en objeto de la acción de alguna agencia experta, todo ello se vuelve mercancía y a todo se le pone una marca. Ya la historia no conjuga con las esperanzas; tampoco los sentidos concuerdan con las acciones,  las palabras  desconocen y niegan los hechos (basta con oír a los senadores colombianos señalando que en el país no </w:t>
      </w:r>
      <w:r w:rsidRPr="003B0967">
        <w:rPr>
          <w:rFonts w:ascii="Century Gothic" w:hAnsi="Century Gothic"/>
          <w:sz w:val="22"/>
          <w:szCs w:val="22"/>
          <w:lang w:val="es-ES_tradnl"/>
        </w:rPr>
        <w:lastRenderedPageBreak/>
        <w:t xml:space="preserve">existe conflicto armado). El cinismo parece haberse instalado como recurso, sin el cual no es posible relacionarse. </w:t>
      </w:r>
    </w:p>
    <w:p w:rsidR="00282501" w:rsidRPr="003B0967" w:rsidRDefault="00282501" w:rsidP="00282501">
      <w:pPr>
        <w:spacing w:line="360" w:lineRule="auto"/>
        <w:jc w:val="both"/>
        <w:rPr>
          <w:rFonts w:ascii="Century Gothic" w:hAnsi="Century Gothic"/>
          <w:sz w:val="22"/>
          <w:szCs w:val="22"/>
          <w:lang w:val="es-ES_tradnl"/>
        </w:rPr>
      </w:pPr>
    </w:p>
    <w:p w:rsidR="00282501" w:rsidRPr="003B0967" w:rsidRDefault="00282501" w:rsidP="00282501">
      <w:pPr>
        <w:spacing w:line="360" w:lineRule="auto"/>
        <w:jc w:val="both"/>
        <w:rPr>
          <w:rFonts w:ascii="Century Gothic" w:hAnsi="Century Gothic"/>
          <w:sz w:val="22"/>
          <w:szCs w:val="22"/>
          <w:lang w:val="es-ES_tradnl"/>
        </w:rPr>
      </w:pPr>
      <w:r w:rsidRPr="003B0967">
        <w:rPr>
          <w:rFonts w:ascii="Century Gothic" w:hAnsi="Century Gothic"/>
          <w:sz w:val="22"/>
          <w:szCs w:val="22"/>
          <w:lang w:val="es-ES_tradnl"/>
        </w:rPr>
        <w:t>Todo ello configura una disposición a la sumisión, a la credulidad, a la insignificancia, a lo autoritario, a lo conformista, a la desesperanza. Todo esto lleva a concebir la realidad social, no como algo que tenemos que transformar, sino como una realidad dentro de la que tenemos que actuar sin pretender nada; cosifcando y paralizando, así, los procesos sociales y las personas.</w:t>
      </w:r>
    </w:p>
    <w:p w:rsidR="00282501" w:rsidRPr="003B0967" w:rsidRDefault="00282501" w:rsidP="00282501">
      <w:pPr>
        <w:spacing w:line="360" w:lineRule="auto"/>
        <w:jc w:val="both"/>
        <w:rPr>
          <w:rFonts w:ascii="Century Gothic" w:hAnsi="Century Gothic"/>
          <w:sz w:val="22"/>
          <w:szCs w:val="22"/>
          <w:lang w:val="es-ES_tradnl"/>
        </w:rPr>
      </w:pPr>
    </w:p>
    <w:p w:rsidR="00282501" w:rsidRPr="003B0967" w:rsidRDefault="00282501" w:rsidP="00282501">
      <w:pPr>
        <w:spacing w:line="360" w:lineRule="auto"/>
        <w:jc w:val="both"/>
        <w:rPr>
          <w:rFonts w:ascii="Century Gothic" w:hAnsi="Century Gothic" w:cs="Arial"/>
          <w:b/>
          <w:i/>
          <w:sz w:val="22"/>
          <w:szCs w:val="22"/>
        </w:rPr>
      </w:pPr>
      <w:r w:rsidRPr="003B0967">
        <w:rPr>
          <w:rFonts w:ascii="Century Gothic" w:hAnsi="Century Gothic"/>
          <w:sz w:val="22"/>
          <w:szCs w:val="22"/>
          <w:lang w:val="es-ES_tradnl"/>
        </w:rPr>
        <w:t xml:space="preserve">Nos ubicamos, entonces, en un contexto neoliberal incompatible con la configuración de sujetos con y en ejercicio de sus poderes. Un modelo discordante  con la construcción de sociedades democráticas y justas. Un modelo hostil a la vida no sólo de las personas sino también del planeta. </w:t>
      </w:r>
      <w:r w:rsidRPr="003B0967">
        <w:rPr>
          <w:rFonts w:ascii="Century Gothic" w:hAnsi="Century Gothic" w:cs="Arial"/>
          <w:b/>
          <w:i/>
          <w:sz w:val="22"/>
          <w:szCs w:val="22"/>
        </w:rPr>
        <w:br w:type="page"/>
      </w:r>
      <w:r w:rsidRPr="003B0967">
        <w:rPr>
          <w:rFonts w:ascii="Century Gothic" w:hAnsi="Century Gothic" w:cs="Arial"/>
          <w:b/>
          <w:i/>
          <w:sz w:val="22"/>
          <w:szCs w:val="22"/>
        </w:rPr>
        <w:lastRenderedPageBreak/>
        <w:t xml:space="preserve">PEDAGOGÍA PARA UN MUNDO QUE PUJA POR  SER… </w:t>
      </w:r>
    </w:p>
    <w:p w:rsidR="00282501" w:rsidRPr="003B0967" w:rsidRDefault="00282501" w:rsidP="00282501">
      <w:pPr>
        <w:spacing w:line="360" w:lineRule="auto"/>
        <w:jc w:val="both"/>
        <w:rPr>
          <w:rFonts w:ascii="Century Gothic" w:hAnsi="Century Gothic" w:cs="Arial"/>
          <w:b/>
          <w:i/>
          <w:sz w:val="22"/>
          <w:szCs w:val="22"/>
        </w:rPr>
      </w:pPr>
      <w:r w:rsidRPr="003B0967">
        <w:rPr>
          <w:rFonts w:ascii="Century Gothic" w:hAnsi="Century Gothic" w:cs="Arial"/>
          <w:b/>
          <w:i/>
          <w:sz w:val="22"/>
          <w:szCs w:val="22"/>
        </w:rPr>
        <w:t>Recreando el pensamiento de Paulo Freire</w:t>
      </w:r>
    </w:p>
    <w:p w:rsidR="00282501" w:rsidRPr="003B0967" w:rsidRDefault="00282501" w:rsidP="00282501">
      <w:pPr>
        <w:spacing w:line="360" w:lineRule="auto"/>
        <w:jc w:val="both"/>
        <w:rPr>
          <w:rFonts w:ascii="Century Gothic" w:hAnsi="Century Gothic" w:cs="Arial"/>
          <w:b/>
          <w:i/>
          <w:sz w:val="22"/>
          <w:szCs w:val="22"/>
        </w:rPr>
      </w:pPr>
    </w:p>
    <w:p w:rsidR="00282501" w:rsidRPr="003B0967" w:rsidRDefault="00282501" w:rsidP="00282501">
      <w:pPr>
        <w:spacing w:line="360" w:lineRule="auto"/>
        <w:jc w:val="right"/>
        <w:rPr>
          <w:rFonts w:ascii="Century Gothic" w:hAnsi="Century Gothic" w:cs="Arial"/>
          <w:b/>
          <w:i/>
          <w:sz w:val="22"/>
          <w:szCs w:val="22"/>
        </w:rPr>
      </w:pPr>
      <w:r w:rsidRPr="003B0967">
        <w:rPr>
          <w:rFonts w:ascii="Century Gothic" w:hAnsi="Century Gothic" w:cs="Arial"/>
          <w:b/>
          <w:i/>
          <w:sz w:val="22"/>
          <w:szCs w:val="22"/>
        </w:rPr>
        <w:t>“Cambiar supone saber que es posible hacerlo”</w:t>
      </w:r>
    </w:p>
    <w:p w:rsidR="00282501" w:rsidRPr="003B0967" w:rsidRDefault="00282501" w:rsidP="00282501">
      <w:pPr>
        <w:spacing w:line="360" w:lineRule="auto"/>
        <w:jc w:val="right"/>
        <w:rPr>
          <w:rFonts w:ascii="Century Gothic" w:hAnsi="Century Gothic" w:cs="Arial"/>
          <w:b/>
          <w:i/>
          <w:sz w:val="22"/>
          <w:szCs w:val="22"/>
        </w:rPr>
      </w:pPr>
      <w:r w:rsidRPr="003B0967">
        <w:rPr>
          <w:rFonts w:ascii="Century Gothic" w:hAnsi="Century Gothic" w:cs="Arial"/>
          <w:b/>
          <w:i/>
          <w:sz w:val="22"/>
          <w:szCs w:val="22"/>
        </w:rPr>
        <w:t>P. Freire</w:t>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r w:rsidRPr="003B0967">
        <w:rPr>
          <w:rFonts w:ascii="Century Gothic" w:hAnsi="Century Gothic" w:cs="Arial"/>
          <w:sz w:val="22"/>
          <w:szCs w:val="22"/>
        </w:rPr>
        <w:t xml:space="preserve">En medio de una profunda crisis de civilización, muchas personas, grupos y movimientos sociales  se empeñan en leer posibilidades históricas de autocrítica, de creatividad y de construcción de alternativas. Paulo Freire como pensador y educador latinoamericano quiso, pensó, creó, habló, practicó y propuso  una pedagogía que aporta y apoya  la construcción de alternativas sociales, políticas, económicas, culturales y ecológicas  junto con los sectores populares, sus organizaciones y movimientos. </w:t>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r w:rsidRPr="003B0967">
        <w:rPr>
          <w:rFonts w:ascii="Century Gothic" w:hAnsi="Century Gothic" w:cs="Arial"/>
          <w:sz w:val="22"/>
          <w:szCs w:val="22"/>
        </w:rPr>
        <w:t xml:space="preserve">Cuando hablamos de una propuesta y práctica pedagógica que aporta a la construcción de alternativas sociales y culturales, nos estamos refiriendo a quehaceres educativos que enfrentan, en su campo de actuación y de interacción (escuelas, colegios, universidades, grupos y organizaciones sociales) el autoritarismo, la invisibilización, el silenciamiento y  la exclusión que genera un sistema político excluyente y un modelo de desarrollo socioeconómico como el neoliberal. </w:t>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r w:rsidRPr="003B0967">
        <w:rPr>
          <w:rFonts w:ascii="Century Gothic" w:hAnsi="Century Gothic" w:cs="Arial"/>
          <w:sz w:val="22"/>
          <w:szCs w:val="22"/>
        </w:rPr>
        <w:t>Cuando hablamos de la propuesta pedagógica de Freire  estamos hablando de una propuesta pedagógica que opta por la democracia, la libertad, la convivencia, el diálogo y  la dignificación de las personas.</w:t>
      </w:r>
    </w:p>
    <w:p w:rsidR="00282501" w:rsidRPr="003B0967" w:rsidRDefault="00282501" w:rsidP="00282501">
      <w:pPr>
        <w:spacing w:line="360" w:lineRule="auto"/>
        <w:jc w:val="both"/>
        <w:rPr>
          <w:rFonts w:ascii="Century Gothic" w:hAnsi="Century Gothic"/>
          <w:sz w:val="22"/>
          <w:szCs w:val="22"/>
        </w:rPr>
      </w:pPr>
    </w:p>
    <w:p w:rsidR="00282501" w:rsidRPr="003B0967" w:rsidRDefault="00282501" w:rsidP="00282501">
      <w:pPr>
        <w:spacing w:line="360" w:lineRule="auto"/>
        <w:jc w:val="both"/>
        <w:rPr>
          <w:rFonts w:ascii="Century Gothic" w:hAnsi="Century Gothic" w:cs="Arial"/>
          <w:sz w:val="22"/>
          <w:szCs w:val="22"/>
        </w:rPr>
      </w:pPr>
      <w:r w:rsidRPr="003B0967">
        <w:rPr>
          <w:rFonts w:ascii="Century Gothic" w:hAnsi="Century Gothic"/>
          <w:sz w:val="22"/>
          <w:szCs w:val="22"/>
        </w:rPr>
        <w:t xml:space="preserve">Hoy, ante la necesidad de enfrentar el modelo de desarrollo neoliberal y sus propuestas pedagógicas, la propuesta freiriana  como opción educativa adquiere relevancia, porque está orientada a la transformación, a la esperanza y a la justicia social. También, porque </w:t>
      </w:r>
      <w:r w:rsidRPr="003B0967">
        <w:rPr>
          <w:rFonts w:ascii="Century Gothic" w:hAnsi="Century Gothic" w:cs="Arial"/>
          <w:sz w:val="22"/>
          <w:szCs w:val="22"/>
        </w:rPr>
        <w:t xml:space="preserve">como proceso educativo, favorece el desocultamiento de  los múltiples condicionamientos de dominación y control </w:t>
      </w:r>
      <w:r w:rsidRPr="003B0967">
        <w:rPr>
          <w:rFonts w:ascii="Century Gothic" w:hAnsi="Century Gothic" w:cs="Arial"/>
          <w:sz w:val="22"/>
          <w:szCs w:val="22"/>
        </w:rPr>
        <w:lastRenderedPageBreak/>
        <w:t>que impiden a las personas ser verdaderos sujetos sociales, dueños de su propio destino.</w:t>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i/>
          <w:sz w:val="22"/>
          <w:szCs w:val="22"/>
        </w:rPr>
      </w:pPr>
      <w:r w:rsidRPr="003B0967">
        <w:rPr>
          <w:rFonts w:ascii="Century Gothic" w:hAnsi="Century Gothic" w:cs="Arial"/>
          <w:sz w:val="22"/>
          <w:szCs w:val="22"/>
        </w:rPr>
        <w:t xml:space="preserve">La propuesta  pedagógico/cultural de Paulo Freire opta por apoyar la construcción de sujetos y de procesos donde estos ejerzan sus poderes sociales y políticos. Está por demás decir, que la propuesta se funda en  un paradigma emancipatorio, que se hace evidente en  prácticas educativas dialógicas, en las  que se desarrollan y  se forman nuevas subjetividades críticas. </w:t>
      </w:r>
      <w:r w:rsidRPr="003B0967">
        <w:rPr>
          <w:rFonts w:ascii="Century Gothic" w:hAnsi="Century Gothic" w:cs="Arial"/>
          <w:i/>
          <w:sz w:val="22"/>
          <w:szCs w:val="22"/>
        </w:rPr>
        <w:t>“Creo, decía Paulo a jóvenes maestros, que la tarea principal que la gente tiene, en este fin de siglo,… es la tarea de la liberación.” ”En tanto restauración de la libertad”</w:t>
      </w:r>
      <w:r w:rsidRPr="003B0967">
        <w:rPr>
          <w:rStyle w:val="Refdenotaalpie"/>
          <w:rFonts w:ascii="Century Gothic" w:hAnsi="Century Gothic" w:cs="Arial"/>
          <w:i/>
          <w:sz w:val="22"/>
          <w:szCs w:val="22"/>
        </w:rPr>
        <w:footnoteReference w:id="9"/>
      </w:r>
      <w:r w:rsidRPr="003B0967">
        <w:rPr>
          <w:rFonts w:ascii="Century Gothic" w:hAnsi="Century Gothic" w:cs="Arial"/>
          <w:sz w:val="22"/>
          <w:szCs w:val="22"/>
        </w:rPr>
        <w:t xml:space="preserve">  Este referente ético, político y teórico es una de las claves fundamentales para entender y valorar las propuestas y proyectos  educativos que buscan hacer frente a las pautas socializadoras del modelo  neoliberal porque son entendidas “</w:t>
      </w:r>
      <w:r w:rsidRPr="003B0967">
        <w:rPr>
          <w:rFonts w:ascii="Century Gothic" w:hAnsi="Century Gothic" w:cs="Arial"/>
          <w:i/>
          <w:sz w:val="22"/>
          <w:szCs w:val="22"/>
        </w:rPr>
        <w:t>como elemento fundamental de rescate de la libertad”</w:t>
      </w:r>
      <w:r w:rsidRPr="003B0967">
        <w:rPr>
          <w:rStyle w:val="Refdenotaalpie"/>
          <w:rFonts w:ascii="Century Gothic" w:hAnsi="Century Gothic" w:cs="Arial"/>
          <w:i/>
          <w:sz w:val="22"/>
          <w:szCs w:val="22"/>
        </w:rPr>
        <w:footnoteReference w:id="10"/>
      </w:r>
      <w:r w:rsidRPr="003B0967">
        <w:rPr>
          <w:rFonts w:ascii="Century Gothic" w:hAnsi="Century Gothic" w:cs="Arial"/>
          <w:i/>
          <w:sz w:val="22"/>
          <w:szCs w:val="22"/>
        </w:rPr>
        <w:t>.</w:t>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r w:rsidRPr="003B0967">
        <w:rPr>
          <w:rFonts w:ascii="Century Gothic" w:hAnsi="Century Gothic" w:cs="Arial"/>
          <w:sz w:val="22"/>
          <w:szCs w:val="22"/>
        </w:rPr>
        <w:t xml:space="preserve">Es posible que para muchos lectores  hacer esta afirmación es retomar los discursos de mitad del siglo pasado; es claro que hoy las inquietudes y los dominios del neoliberalismo operan sobre la sexualidad, el consumo, la amistad, las manifestaciones de amor, la corporalidad, el placer, las formas de expresión y de informarse, el manejo de las tecnologías de información y comunicación  y muchos otros aspectos que relacionados con la vida cotidiana configuran el presente y bosquejan el futuro.  Ante ello Freire nos alertaría de que todo esto </w:t>
      </w:r>
      <w:r w:rsidRPr="003B0967">
        <w:rPr>
          <w:rFonts w:ascii="Century Gothic" w:hAnsi="Century Gothic" w:cs="Arial"/>
          <w:i/>
          <w:sz w:val="22"/>
          <w:szCs w:val="22"/>
        </w:rPr>
        <w:t>“se construye socialmente, históricamente”</w:t>
      </w:r>
      <w:r w:rsidRPr="003B0967">
        <w:rPr>
          <w:rFonts w:ascii="Century Gothic" w:hAnsi="Century Gothic" w:cs="Arial"/>
          <w:sz w:val="22"/>
          <w:szCs w:val="22"/>
        </w:rPr>
        <w:t xml:space="preserve"> por consiguiente son asuntos relacionados  con la búsqueda y el rescate de la libertad, la dignidad, la autonomía, la solidaridad, en definitiva con el rescate y dignificación de la vida humana.</w:t>
      </w:r>
    </w:p>
    <w:p w:rsidR="00282501"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numPr>
          <w:ilvl w:val="0"/>
          <w:numId w:val="1"/>
        </w:numPr>
        <w:spacing w:line="360" w:lineRule="auto"/>
        <w:jc w:val="both"/>
        <w:rPr>
          <w:rFonts w:ascii="Century Gothic" w:hAnsi="Century Gothic" w:cs="Arial"/>
          <w:b/>
          <w:i/>
          <w:sz w:val="22"/>
          <w:szCs w:val="22"/>
        </w:rPr>
      </w:pPr>
      <w:r w:rsidRPr="003B0967">
        <w:rPr>
          <w:rFonts w:ascii="Century Gothic" w:hAnsi="Century Gothic" w:cs="Arial"/>
          <w:b/>
          <w:i/>
          <w:sz w:val="22"/>
          <w:szCs w:val="22"/>
        </w:rPr>
        <w:t xml:space="preserve">Una pedagogía que  recupera </w:t>
      </w:r>
      <w:smartTag w:uri="urn:schemas-microsoft-com:office:smarttags" w:element="PersonName">
        <w:smartTagPr>
          <w:attr w:name="ProductID" w:val="la VIDA"/>
        </w:smartTagPr>
        <w:r w:rsidRPr="003B0967">
          <w:rPr>
            <w:rFonts w:ascii="Century Gothic" w:hAnsi="Century Gothic" w:cs="Arial"/>
            <w:b/>
            <w:i/>
            <w:sz w:val="22"/>
            <w:szCs w:val="22"/>
          </w:rPr>
          <w:t>la VIDA</w:t>
        </w:r>
      </w:smartTag>
      <w:r w:rsidRPr="003B0967">
        <w:rPr>
          <w:rFonts w:ascii="Century Gothic" w:hAnsi="Century Gothic" w:cs="Arial"/>
          <w:b/>
          <w:i/>
          <w:sz w:val="22"/>
          <w:szCs w:val="22"/>
        </w:rPr>
        <w:t xml:space="preserve"> y la vida cotidiana.</w:t>
      </w:r>
    </w:p>
    <w:p w:rsidR="00282501" w:rsidRPr="003B0967" w:rsidRDefault="00282501" w:rsidP="00282501">
      <w:pPr>
        <w:jc w:val="right"/>
        <w:rPr>
          <w:rFonts w:ascii="Century Gothic" w:hAnsi="Century Gothic" w:cs="Arial"/>
          <w:b/>
          <w:i/>
          <w:sz w:val="22"/>
          <w:szCs w:val="22"/>
        </w:rPr>
      </w:pPr>
      <w:r w:rsidRPr="003B0967">
        <w:rPr>
          <w:rFonts w:ascii="Century Gothic" w:hAnsi="Century Gothic" w:cs="Arial"/>
          <w:b/>
          <w:i/>
          <w:sz w:val="22"/>
          <w:szCs w:val="22"/>
        </w:rPr>
        <w:t>“Vivir se impuso ante mí  como deber</w:t>
      </w:r>
    </w:p>
    <w:p w:rsidR="00282501" w:rsidRPr="003B0967" w:rsidRDefault="00282501" w:rsidP="00282501">
      <w:pPr>
        <w:jc w:val="right"/>
        <w:rPr>
          <w:rFonts w:ascii="Century Gothic" w:hAnsi="Century Gothic" w:cs="Arial"/>
          <w:b/>
          <w:i/>
          <w:sz w:val="22"/>
          <w:szCs w:val="22"/>
        </w:rPr>
      </w:pPr>
      <w:r w:rsidRPr="003B0967">
        <w:rPr>
          <w:rFonts w:ascii="Century Gothic" w:hAnsi="Century Gothic" w:cs="Arial"/>
          <w:b/>
          <w:i/>
          <w:sz w:val="22"/>
          <w:szCs w:val="22"/>
        </w:rPr>
        <w:t>Como derecho  y como gusto también.”</w:t>
      </w:r>
    </w:p>
    <w:p w:rsidR="00282501" w:rsidRPr="003B0967" w:rsidRDefault="00282501" w:rsidP="00282501">
      <w:pPr>
        <w:jc w:val="right"/>
        <w:rPr>
          <w:rFonts w:ascii="Century Gothic" w:hAnsi="Century Gothic" w:cs="Arial"/>
          <w:b/>
          <w:i/>
          <w:sz w:val="22"/>
          <w:szCs w:val="22"/>
        </w:rPr>
      </w:pPr>
      <w:r w:rsidRPr="003B0967">
        <w:rPr>
          <w:rFonts w:ascii="Century Gothic" w:hAnsi="Century Gothic" w:cs="Arial"/>
          <w:b/>
          <w:i/>
          <w:sz w:val="22"/>
          <w:szCs w:val="22"/>
        </w:rPr>
        <w:t>Paulo Freire</w:t>
      </w:r>
    </w:p>
    <w:p w:rsidR="00282501" w:rsidRPr="003B0967" w:rsidRDefault="00282501" w:rsidP="00282501">
      <w:pPr>
        <w:jc w:val="right"/>
        <w:rPr>
          <w:rFonts w:ascii="Century Gothic" w:hAnsi="Century Gothic" w:cs="Arial"/>
          <w:b/>
          <w:i/>
          <w:sz w:val="22"/>
          <w:szCs w:val="22"/>
        </w:rPr>
      </w:pPr>
    </w:p>
    <w:p w:rsidR="00282501" w:rsidRPr="003B0967" w:rsidRDefault="00282501" w:rsidP="00282501">
      <w:pPr>
        <w:jc w:val="right"/>
        <w:rPr>
          <w:rFonts w:ascii="Century Gothic" w:hAnsi="Century Gothic" w:cs="Arial"/>
          <w:b/>
          <w:i/>
          <w:sz w:val="22"/>
          <w:szCs w:val="22"/>
        </w:rPr>
      </w:pPr>
    </w:p>
    <w:p w:rsidR="00282501" w:rsidRPr="003B0967" w:rsidRDefault="00282501" w:rsidP="00282501">
      <w:pPr>
        <w:spacing w:line="360" w:lineRule="auto"/>
        <w:jc w:val="both"/>
        <w:rPr>
          <w:rFonts w:ascii="Century Gothic" w:hAnsi="Century Gothic" w:cs="Arial"/>
          <w:sz w:val="22"/>
          <w:szCs w:val="22"/>
        </w:rPr>
      </w:pPr>
      <w:r w:rsidRPr="003B0967">
        <w:rPr>
          <w:rFonts w:ascii="Century Gothic" w:hAnsi="Century Gothic" w:cs="Arial"/>
          <w:sz w:val="22"/>
          <w:szCs w:val="22"/>
        </w:rPr>
        <w:t>La vida es el nicho ecológico/gnoseológico de la educación porque  se reconoce como  punto de enclave y de constitución de los procesos de socialización,  formación y producción de conocimientos.</w:t>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r w:rsidRPr="003B0967">
        <w:rPr>
          <w:rFonts w:ascii="Century Gothic" w:hAnsi="Century Gothic" w:cs="Arial"/>
          <w:sz w:val="22"/>
          <w:szCs w:val="22"/>
        </w:rPr>
        <w:t xml:space="preserve"> No es posible pensar y realizar procesos pedagógicos  sin reconocer que estos se dan, generan y desarrollan en los diferentes ámbitos y devenires de la vida. </w:t>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r w:rsidRPr="003B0967">
        <w:rPr>
          <w:rFonts w:ascii="Century Gothic" w:hAnsi="Century Gothic" w:cs="Arial"/>
          <w:sz w:val="22"/>
          <w:szCs w:val="22"/>
        </w:rPr>
        <w:t>No hay conocimientos, valores, actitudes, competencias que sean ajenas o que se practiquen por fuera de los ámbitos de la vida cotidiana.  Reconocer que la vida -  individual, grupal, comunitaria, institucional -  es el nicho en el que se genera y se da el diálogo de saberes, el intercambio cultural, la construcción de conocimientos, es darse cuenta de  varias características y  condiciones necesarias  para desarrollar y afianzar estilos alternativos de querer,  pensar, actuar, crear y hablar;  de relacionarse con los otros y con el mundo,  haciendo un ejercicio de poder por fuera de los  patrones acostumbrados en un sistema marcado por la dominación y la exclusión.</w:t>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r w:rsidRPr="003B0967">
        <w:rPr>
          <w:rFonts w:ascii="Century Gothic" w:hAnsi="Century Gothic" w:cs="Arial"/>
          <w:sz w:val="22"/>
          <w:szCs w:val="22"/>
        </w:rPr>
        <w:t xml:space="preserve">Si queremos asumir la vida cotidiana como referente y contenido de nuestras prácticas educativas,  tendremos que reconocer en ella la historicidad, espacialidad, incertidumbres,  inacabamiento, perfectibilidad, integralidad,  complejidad, dinamicidad y su  apertura a múltiples articulaciones. </w:t>
      </w:r>
    </w:p>
    <w:p w:rsidR="00282501" w:rsidRPr="003B0967" w:rsidRDefault="00282501" w:rsidP="00282501">
      <w:pPr>
        <w:spacing w:line="360" w:lineRule="auto"/>
        <w:ind w:left="480" w:right="920"/>
        <w:jc w:val="both"/>
        <w:rPr>
          <w:rFonts w:ascii="Century Gothic" w:hAnsi="Century Gothic" w:cs="Arial"/>
          <w:i/>
          <w:sz w:val="22"/>
          <w:szCs w:val="22"/>
        </w:rPr>
      </w:pPr>
    </w:p>
    <w:p w:rsidR="00282501" w:rsidRPr="003B0967" w:rsidRDefault="00282501" w:rsidP="00282501">
      <w:pPr>
        <w:spacing w:line="360" w:lineRule="auto"/>
        <w:ind w:left="480" w:right="920"/>
        <w:jc w:val="both"/>
        <w:rPr>
          <w:rFonts w:ascii="Century Gothic" w:hAnsi="Century Gothic" w:cs="Arial"/>
          <w:i/>
          <w:sz w:val="22"/>
          <w:szCs w:val="22"/>
        </w:rPr>
      </w:pPr>
      <w:r w:rsidRPr="003B0967">
        <w:rPr>
          <w:rFonts w:ascii="Century Gothic" w:hAnsi="Century Gothic" w:cs="Arial"/>
          <w:i/>
          <w:sz w:val="22"/>
          <w:szCs w:val="22"/>
        </w:rPr>
        <w:t>“…alguien que asuma su tiempo y lo asuma con lucidez, es entender la historia como posibilidad. El hombre y la mujer hacen la historia a partir de una circunstancia concreta dada, de una estructura que ya existe cuando la gente llega al mundo. Pero ese tiempo y ese espacio tienen que ser un tiempo de  posibilidad y no un tiempo- espacio que nos determine mecánicamente”</w:t>
      </w:r>
      <w:r w:rsidRPr="003B0967">
        <w:rPr>
          <w:rStyle w:val="Refdenotaalpie"/>
          <w:rFonts w:ascii="Century Gothic" w:hAnsi="Century Gothic" w:cs="Arial"/>
          <w:i/>
          <w:sz w:val="22"/>
          <w:szCs w:val="22"/>
        </w:rPr>
        <w:footnoteReference w:id="11"/>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b/>
          <w:bCs/>
          <w:i/>
          <w:iCs/>
          <w:sz w:val="22"/>
          <w:szCs w:val="22"/>
        </w:rPr>
      </w:pPr>
      <w:r w:rsidRPr="003B0967">
        <w:rPr>
          <w:rFonts w:ascii="Century Gothic" w:hAnsi="Century Gothic" w:cs="Arial"/>
          <w:sz w:val="22"/>
          <w:szCs w:val="22"/>
        </w:rPr>
        <w:t>Estas características  de la “</w:t>
      </w:r>
      <w:r w:rsidRPr="003B0967">
        <w:rPr>
          <w:rFonts w:ascii="Century Gothic" w:hAnsi="Century Gothic" w:cs="Arial"/>
          <w:i/>
          <w:iCs/>
          <w:sz w:val="22"/>
          <w:szCs w:val="22"/>
        </w:rPr>
        <w:t>vida cotidiana”,</w:t>
      </w:r>
      <w:r w:rsidRPr="003B0967">
        <w:rPr>
          <w:rFonts w:ascii="Century Gothic" w:hAnsi="Century Gothic" w:cs="Arial"/>
          <w:sz w:val="22"/>
          <w:szCs w:val="22"/>
        </w:rPr>
        <w:t xml:space="preserve">  nos permiten dar cuenta carácter situado (ubicación  temporal y espacial) y contextuado de las prácticas educativas permitiendo entender críticamente su singularidad particularidad, así como sus posibilidades y limitaciones.</w:t>
      </w:r>
    </w:p>
    <w:p w:rsidR="00282501" w:rsidRPr="003B0967" w:rsidRDefault="00282501" w:rsidP="00282501">
      <w:pPr>
        <w:spacing w:line="360" w:lineRule="auto"/>
        <w:jc w:val="both"/>
        <w:rPr>
          <w:rFonts w:ascii="Century Gothic" w:hAnsi="Century Gothic" w:cs="Arial"/>
          <w:b/>
          <w:bCs/>
          <w:i/>
          <w:iCs/>
          <w:sz w:val="22"/>
          <w:szCs w:val="22"/>
        </w:rPr>
      </w:pPr>
    </w:p>
    <w:p w:rsidR="00282501" w:rsidRPr="003B0967" w:rsidRDefault="00282501" w:rsidP="00282501">
      <w:pPr>
        <w:spacing w:line="360" w:lineRule="auto"/>
        <w:jc w:val="both"/>
        <w:rPr>
          <w:rFonts w:ascii="Century Gothic" w:hAnsi="Century Gothic" w:cs="Arial"/>
          <w:sz w:val="22"/>
          <w:szCs w:val="22"/>
        </w:rPr>
      </w:pPr>
      <w:r w:rsidRPr="003B0967">
        <w:rPr>
          <w:rFonts w:ascii="Century Gothic" w:hAnsi="Century Gothic" w:cs="Arial"/>
          <w:sz w:val="22"/>
          <w:szCs w:val="22"/>
        </w:rPr>
        <w:t>Relacionar las prácticas educativas con la  praxis de vivir, con las formas de actuar, es afectar, de alguna manera, todas las dimensiones en las que se configuran las  personas. (Sus contextos, acciones y relaciones entre  sujetos y de éstos con el  ambiente.)</w:t>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r w:rsidRPr="003B0967">
        <w:rPr>
          <w:rFonts w:ascii="Century Gothic" w:hAnsi="Century Gothic" w:cs="Arial"/>
          <w:sz w:val="22"/>
          <w:szCs w:val="22"/>
        </w:rPr>
        <w:t xml:space="preserve">El neoliberalismo encubre y coopta los sentidos y la naturaleza cultural, social, política e histórica de la vida cotidiana; fabulando con la posibilidad de un bienestar  impersonal, neutro, aséptico y ajeno a la </w:t>
      </w:r>
      <w:r w:rsidRPr="003B0967">
        <w:rPr>
          <w:rFonts w:ascii="Century Gothic" w:hAnsi="Century Gothic" w:cs="Arial"/>
          <w:i/>
          <w:iCs/>
          <w:sz w:val="22"/>
          <w:szCs w:val="22"/>
        </w:rPr>
        <w:t>“praxis de vivir”.</w:t>
      </w:r>
      <w:r w:rsidRPr="003B0967">
        <w:rPr>
          <w:rFonts w:ascii="Century Gothic" w:hAnsi="Century Gothic" w:cs="Arial"/>
          <w:sz w:val="22"/>
          <w:szCs w:val="22"/>
        </w:rPr>
        <w:t xml:space="preserve">  Así niega  la condición histórica, incierta, interesada  y singular que poseen los procesos de socialización y de construcción de lo social. Al encubrir o evitar objetivar esta relación se hace difusa la correspondencia entre la educación  y las posturas que el sistema y las personas asumen frente a los modos de producción social de la vida.  </w:t>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ind w:left="720" w:right="920"/>
        <w:jc w:val="both"/>
        <w:rPr>
          <w:rFonts w:ascii="Century Gothic" w:hAnsi="Century Gothic" w:cs="Arial"/>
          <w:i/>
          <w:sz w:val="22"/>
          <w:szCs w:val="22"/>
        </w:rPr>
      </w:pPr>
      <w:r w:rsidRPr="003B0967">
        <w:rPr>
          <w:rFonts w:ascii="Century Gothic" w:hAnsi="Century Gothic" w:cs="Arial"/>
          <w:sz w:val="22"/>
          <w:szCs w:val="22"/>
        </w:rPr>
        <w:tab/>
      </w:r>
      <w:r w:rsidRPr="003B0967">
        <w:rPr>
          <w:rFonts w:ascii="Century Gothic" w:hAnsi="Century Gothic" w:cs="Arial"/>
          <w:i/>
          <w:sz w:val="22"/>
          <w:szCs w:val="22"/>
        </w:rPr>
        <w:t>“El mismo hecho de que  la persona sea capaz de reconocer hasta  que punto  está condicionada o influida  por las estructuras económicas la hace capaz  también de intervenir en la realidad condicionante. O sea, saberse condicionada y no fatalisticamente sometida a este o a aquel destino abre el camino de su intervención en el mundo.”</w:t>
      </w:r>
      <w:r w:rsidRPr="003B0967">
        <w:rPr>
          <w:rStyle w:val="Refdenotaalpie"/>
          <w:rFonts w:ascii="Century Gothic" w:hAnsi="Century Gothic" w:cs="Arial"/>
          <w:i/>
          <w:sz w:val="22"/>
          <w:szCs w:val="22"/>
        </w:rPr>
        <w:footnoteReference w:id="12"/>
      </w:r>
      <w:r w:rsidRPr="003B0967">
        <w:rPr>
          <w:rFonts w:ascii="Century Gothic" w:hAnsi="Century Gothic" w:cs="Arial"/>
          <w:i/>
          <w:sz w:val="22"/>
          <w:szCs w:val="22"/>
        </w:rPr>
        <w:t xml:space="preserve"> </w:t>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r w:rsidRPr="003B0967">
        <w:rPr>
          <w:rFonts w:ascii="Century Gothic" w:hAnsi="Century Gothic" w:cs="Arial"/>
          <w:sz w:val="22"/>
          <w:szCs w:val="22"/>
        </w:rPr>
        <w:t xml:space="preserve">En este tipo de prácticas educativas, se construyen comprensiones y explicaciones, se reconoce que estas hacen parte de una ecología social y cultural que lleva a los sujetos involucrados a identificarse, a reinventar y a reinventarse, a reordenar o reorganizar los componentes configuradores de los </w:t>
      </w:r>
      <w:r w:rsidRPr="003B0967">
        <w:rPr>
          <w:rFonts w:ascii="Century Gothic" w:hAnsi="Century Gothic" w:cs="Arial"/>
          <w:sz w:val="22"/>
          <w:szCs w:val="22"/>
        </w:rPr>
        <w:lastRenderedPageBreak/>
        <w:t xml:space="preserve">contextos, acciones, relatos, discursos y proyectos; facilitando así,  el  la elaboración de nuevos sentidos de vida. </w:t>
      </w:r>
    </w:p>
    <w:p w:rsidR="00282501" w:rsidRPr="003B0967" w:rsidRDefault="00282501" w:rsidP="00282501">
      <w:pPr>
        <w:spacing w:line="360" w:lineRule="auto"/>
        <w:rPr>
          <w:rFonts w:ascii="Century Gothic" w:hAnsi="Century Gothic" w:cs="Arial"/>
          <w:sz w:val="22"/>
          <w:szCs w:val="22"/>
        </w:rPr>
      </w:pPr>
    </w:p>
    <w:p w:rsidR="00282501" w:rsidRPr="003B0967" w:rsidRDefault="00282501" w:rsidP="00282501">
      <w:pPr>
        <w:spacing w:line="360" w:lineRule="auto"/>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numPr>
          <w:ilvl w:val="0"/>
          <w:numId w:val="1"/>
        </w:numPr>
        <w:spacing w:line="360" w:lineRule="auto"/>
        <w:jc w:val="both"/>
        <w:rPr>
          <w:rFonts w:ascii="Century Gothic" w:hAnsi="Century Gothic" w:cs="Arial"/>
          <w:b/>
          <w:i/>
          <w:sz w:val="22"/>
          <w:szCs w:val="22"/>
        </w:rPr>
      </w:pPr>
      <w:r w:rsidRPr="003B0967">
        <w:rPr>
          <w:rFonts w:ascii="Century Gothic" w:hAnsi="Century Gothic" w:cs="Arial"/>
          <w:b/>
          <w:i/>
          <w:sz w:val="22"/>
          <w:szCs w:val="22"/>
        </w:rPr>
        <w:t>Una pedagogía que  recupera la palabra y el diálogo</w:t>
      </w:r>
    </w:p>
    <w:p w:rsidR="00282501" w:rsidRPr="003B0967" w:rsidRDefault="00282501" w:rsidP="00282501">
      <w:pPr>
        <w:spacing w:line="360" w:lineRule="auto"/>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r w:rsidRPr="003B0967">
        <w:rPr>
          <w:rFonts w:ascii="Century Gothic" w:hAnsi="Century Gothic" w:cs="Arial"/>
          <w:sz w:val="22"/>
          <w:szCs w:val="22"/>
        </w:rPr>
        <w:t xml:space="preserve">El carácter dialógico,  la orientación conversacional y colaborativa caracteriza la propuesta pedagógica freiriana   como un encuentro entre sujetos  que se van constituyendo recíprocamente como interlocutores capaces de reconocerse y de reconocer un tema,  una problemática o asunto a trabajar a partir de un acuerdo comunicativo. </w:t>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ind w:left="840" w:right="920" w:hanging="840"/>
        <w:jc w:val="both"/>
        <w:rPr>
          <w:rFonts w:ascii="Century Gothic" w:hAnsi="Century Gothic" w:cs="Arial"/>
          <w:i/>
          <w:sz w:val="22"/>
          <w:szCs w:val="22"/>
        </w:rPr>
      </w:pPr>
      <w:r w:rsidRPr="003B0967">
        <w:rPr>
          <w:rFonts w:ascii="Century Gothic" w:hAnsi="Century Gothic" w:cs="Arial"/>
          <w:sz w:val="22"/>
          <w:szCs w:val="22"/>
        </w:rPr>
        <w:tab/>
      </w:r>
      <w:r w:rsidRPr="003B0967">
        <w:rPr>
          <w:rFonts w:ascii="Century Gothic" w:hAnsi="Century Gothic" w:cs="Arial"/>
          <w:i/>
          <w:sz w:val="22"/>
          <w:szCs w:val="22"/>
        </w:rPr>
        <w:t>“La existencia en tanto humana no puede ser muda, silenciosa, ni tampoco nutrirse de  falsas palabras sino de palabras verdaderas con las cuales los hombres transforman el mundo. Existir humanamente es pronunciar el mundo.” “Los hombres no se hacen en el silencio, sino en la palabra… decirla no es privilegio de  algunos sino derecho de todos los hombres.” “El diálogo es este encuentro de los hombres, mediatizados por el mundo, para pronunciarlo.”</w:t>
      </w:r>
      <w:r w:rsidRPr="003B0967">
        <w:rPr>
          <w:rStyle w:val="Refdenotaalpie"/>
          <w:rFonts w:ascii="Century Gothic" w:hAnsi="Century Gothic" w:cs="Arial"/>
          <w:i/>
          <w:sz w:val="22"/>
          <w:szCs w:val="22"/>
        </w:rPr>
        <w:footnoteReference w:id="13"/>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r w:rsidRPr="003B0967">
        <w:rPr>
          <w:rFonts w:ascii="Century Gothic" w:hAnsi="Century Gothic" w:cs="Arial"/>
          <w:sz w:val="22"/>
          <w:szCs w:val="22"/>
        </w:rPr>
        <w:t>En las interacciones, la palabra transita y teje nuevos sentidos y significados, circula y es apropiada por  las personas involucradas. Los sujetos conversan y discuten situados en un ámbito configurado por tensiones, intereses, experiencias, emociones y conocimientos; así a lo largo del desarrollo del proceso formativo, los sujetos  recrean su protagonismo reflexivo, cognoscente y comunicativo.</w:t>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r w:rsidRPr="003B0967">
        <w:rPr>
          <w:rFonts w:ascii="Century Gothic" w:hAnsi="Century Gothic" w:cs="Arial"/>
          <w:sz w:val="22"/>
          <w:szCs w:val="22"/>
        </w:rPr>
        <w:t xml:space="preserve">Desde la reposición de la palabra y desde la recreación de la condición dialógica de las personas se favorece la constitución de identidades y </w:t>
      </w:r>
      <w:r w:rsidRPr="003B0967">
        <w:rPr>
          <w:rFonts w:ascii="Century Gothic" w:hAnsi="Century Gothic" w:cs="Arial"/>
          <w:sz w:val="22"/>
          <w:szCs w:val="22"/>
        </w:rPr>
        <w:lastRenderedPageBreak/>
        <w:t>subjetividades alternativas; desenmascarando cualquier intento que busque caer en nuevas negaciones o repetir exclusiones.</w:t>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ind w:left="1200" w:right="920" w:hanging="120"/>
        <w:jc w:val="both"/>
        <w:rPr>
          <w:rFonts w:ascii="Century Gothic" w:hAnsi="Century Gothic" w:cs="Arial"/>
          <w:i/>
          <w:sz w:val="22"/>
          <w:szCs w:val="22"/>
        </w:rPr>
      </w:pPr>
      <w:r w:rsidRPr="003B0967">
        <w:rPr>
          <w:rFonts w:ascii="Century Gothic" w:hAnsi="Century Gothic" w:cs="Arial"/>
          <w:i/>
          <w:sz w:val="22"/>
          <w:szCs w:val="22"/>
        </w:rPr>
        <w:t>“El diálogo es una  exigencia existencial. Y siendo un encuentro que solidariza la reflexión y la acción de sus sujetos encauzados hacia el mundo que debe ser transformado y humanizado, no puede ser reducido a un mero acto de depositar ideas de un sujeto en el otro, ni convertirse en un simple cambio de ideas consumadas por sus permutantes.”</w:t>
      </w:r>
      <w:r w:rsidRPr="003B0967">
        <w:rPr>
          <w:rStyle w:val="Refdenotaalpie"/>
          <w:rFonts w:ascii="Century Gothic" w:hAnsi="Century Gothic" w:cs="Arial"/>
          <w:i/>
          <w:sz w:val="22"/>
          <w:szCs w:val="22"/>
        </w:rPr>
        <w:footnoteReference w:id="14"/>
      </w:r>
    </w:p>
    <w:p w:rsidR="00282501" w:rsidRPr="003B0967" w:rsidRDefault="00282501" w:rsidP="00282501">
      <w:pPr>
        <w:spacing w:line="360" w:lineRule="auto"/>
        <w:jc w:val="both"/>
        <w:rPr>
          <w:rFonts w:ascii="Century Gothic" w:hAnsi="Century Gothic" w:cs="Arial"/>
          <w:sz w:val="22"/>
          <w:szCs w:val="22"/>
        </w:rPr>
      </w:pPr>
    </w:p>
    <w:p w:rsidR="00282501" w:rsidRPr="003B0967" w:rsidRDefault="00282501" w:rsidP="00282501">
      <w:pPr>
        <w:spacing w:line="360" w:lineRule="auto"/>
        <w:jc w:val="both"/>
        <w:rPr>
          <w:rFonts w:ascii="Century Gothic" w:hAnsi="Century Gothic" w:cs="Arial"/>
          <w:sz w:val="22"/>
          <w:szCs w:val="22"/>
        </w:rPr>
      </w:pPr>
    </w:p>
    <w:p w:rsidR="00282501" w:rsidRDefault="00282501" w:rsidP="00282501">
      <w:pPr>
        <w:spacing w:line="360" w:lineRule="auto"/>
        <w:jc w:val="both"/>
        <w:rPr>
          <w:rFonts w:ascii="Century Gothic" w:hAnsi="Century Gothic"/>
          <w:sz w:val="22"/>
          <w:szCs w:val="22"/>
        </w:rPr>
      </w:pPr>
      <w:r w:rsidRPr="003B0967">
        <w:rPr>
          <w:rFonts w:ascii="Century Gothic" w:hAnsi="Century Gothic"/>
          <w:sz w:val="22"/>
          <w:szCs w:val="22"/>
        </w:rPr>
        <w:t xml:space="preserve">La palabra, el diálogo  es el ámbito vincular y de sentido privilegiado para la recreación ideas, la apropiación conceptual, la  generación de interrogantes y la producción y circulación de conocimientos sobre y para la vida. </w:t>
      </w:r>
    </w:p>
    <w:p w:rsidR="00282501" w:rsidRPr="003B0967" w:rsidRDefault="00282501" w:rsidP="00282501">
      <w:pPr>
        <w:spacing w:line="360" w:lineRule="auto"/>
        <w:jc w:val="both"/>
        <w:rPr>
          <w:rFonts w:ascii="Century Gothic" w:hAnsi="Century Gothic"/>
          <w:sz w:val="22"/>
          <w:szCs w:val="22"/>
        </w:rPr>
      </w:pPr>
    </w:p>
    <w:p w:rsidR="00282501" w:rsidRPr="003B0967" w:rsidRDefault="00282501" w:rsidP="00282501">
      <w:pPr>
        <w:spacing w:line="360" w:lineRule="auto"/>
        <w:ind w:left="1200" w:right="920"/>
        <w:jc w:val="both"/>
        <w:rPr>
          <w:rFonts w:ascii="Century Gothic" w:hAnsi="Century Gothic"/>
          <w:i/>
          <w:sz w:val="22"/>
          <w:szCs w:val="22"/>
        </w:rPr>
      </w:pPr>
      <w:r w:rsidRPr="003B0967">
        <w:rPr>
          <w:rFonts w:ascii="Century Gothic" w:hAnsi="Century Gothic"/>
          <w:i/>
          <w:sz w:val="22"/>
          <w:szCs w:val="22"/>
        </w:rPr>
        <w:t>“Si el  diálogo es un  encuentro entre los hombres para ser más, este no puede realizarse en la desesperanza. Si los sujetos del diálogo nada esperan de su quehacer, ya no puede haber diálogo. Su encuentro allí es vacío y estéril. Es burocrático y fastidioso.”</w:t>
      </w:r>
      <w:r w:rsidRPr="003B0967">
        <w:rPr>
          <w:rStyle w:val="Refdenotaalpie"/>
          <w:rFonts w:ascii="Century Gothic" w:hAnsi="Century Gothic"/>
          <w:i/>
          <w:sz w:val="22"/>
          <w:szCs w:val="22"/>
        </w:rPr>
        <w:footnoteReference w:id="15"/>
      </w:r>
    </w:p>
    <w:p w:rsidR="00282501" w:rsidRPr="003B0967" w:rsidRDefault="00282501" w:rsidP="00282501">
      <w:pPr>
        <w:spacing w:line="360" w:lineRule="auto"/>
        <w:jc w:val="both"/>
        <w:rPr>
          <w:rFonts w:ascii="Century Gothic" w:hAnsi="Century Gothic"/>
          <w:sz w:val="22"/>
          <w:szCs w:val="22"/>
        </w:rPr>
      </w:pPr>
    </w:p>
    <w:p w:rsidR="00282501" w:rsidRPr="003B0967" w:rsidRDefault="00282501" w:rsidP="00282501">
      <w:pPr>
        <w:spacing w:line="360" w:lineRule="auto"/>
        <w:jc w:val="both"/>
        <w:rPr>
          <w:rFonts w:ascii="Century Gothic" w:hAnsi="Century Gothic"/>
          <w:sz w:val="22"/>
          <w:szCs w:val="22"/>
        </w:rPr>
      </w:pPr>
      <w:r w:rsidRPr="003B0967">
        <w:rPr>
          <w:rFonts w:ascii="Century Gothic" w:hAnsi="Century Gothic"/>
          <w:sz w:val="22"/>
          <w:szCs w:val="22"/>
        </w:rPr>
        <w:t>La práctica, educativa desde la perspectiva freiriana  retoma la palabra y el diálogo generador de sentidos críticos,  recreando cultural y políticamente las estructuras que condicionan vida cotidiana.</w:t>
      </w:r>
    </w:p>
    <w:p w:rsidR="00282501" w:rsidRPr="003B0967" w:rsidRDefault="00282501" w:rsidP="00282501">
      <w:pPr>
        <w:spacing w:line="360" w:lineRule="auto"/>
        <w:jc w:val="both"/>
        <w:rPr>
          <w:rFonts w:ascii="Century Gothic" w:hAnsi="Century Gothic"/>
          <w:sz w:val="22"/>
          <w:szCs w:val="22"/>
        </w:rPr>
      </w:pPr>
    </w:p>
    <w:p w:rsidR="00282501" w:rsidRPr="003B0967" w:rsidRDefault="00282501" w:rsidP="00282501">
      <w:pPr>
        <w:numPr>
          <w:ilvl w:val="0"/>
          <w:numId w:val="1"/>
        </w:numPr>
        <w:spacing w:line="360" w:lineRule="auto"/>
        <w:jc w:val="both"/>
        <w:rPr>
          <w:rFonts w:ascii="Century Gothic" w:hAnsi="Century Gothic"/>
          <w:b/>
          <w:i/>
          <w:sz w:val="22"/>
          <w:szCs w:val="22"/>
        </w:rPr>
      </w:pPr>
      <w:smartTag w:uri="urn:schemas-microsoft-com:office:smarttags" w:element="PersonName">
        <w:smartTagPr>
          <w:attr w:name="ProductID" w:val="La Educaci￳n Popular"/>
        </w:smartTagPr>
        <w:r w:rsidRPr="003B0967">
          <w:rPr>
            <w:rFonts w:ascii="Century Gothic" w:hAnsi="Century Gothic"/>
            <w:b/>
            <w:i/>
            <w:sz w:val="22"/>
            <w:szCs w:val="22"/>
          </w:rPr>
          <w:t>La Educación Popular</w:t>
        </w:r>
      </w:smartTag>
      <w:r w:rsidRPr="003B0967">
        <w:rPr>
          <w:rFonts w:ascii="Century Gothic" w:hAnsi="Century Gothic"/>
          <w:b/>
          <w:i/>
          <w:sz w:val="22"/>
          <w:szCs w:val="22"/>
        </w:rPr>
        <w:t xml:space="preserve"> restablece la creatividad social </w:t>
      </w:r>
    </w:p>
    <w:p w:rsidR="00282501" w:rsidRPr="00D911AF" w:rsidRDefault="00282501" w:rsidP="00282501">
      <w:pPr>
        <w:ind w:left="4956"/>
        <w:jc w:val="both"/>
        <w:rPr>
          <w:rFonts w:ascii="Century Gothic" w:hAnsi="Century Gothic"/>
          <w:b/>
          <w:i/>
          <w:sz w:val="20"/>
          <w:szCs w:val="20"/>
        </w:rPr>
      </w:pPr>
      <w:r w:rsidRPr="00D911AF">
        <w:rPr>
          <w:rFonts w:ascii="Century Gothic" w:hAnsi="Century Gothic"/>
          <w:b/>
          <w:i/>
          <w:sz w:val="20"/>
          <w:szCs w:val="20"/>
        </w:rPr>
        <w:t>“No junto mi voz a la de quienes hablando de paz, piden a los oprimidos, a los harapientos del mundo que se resignen” P. Freire</w:t>
      </w:r>
    </w:p>
    <w:p w:rsidR="00282501" w:rsidRPr="003B0967" w:rsidRDefault="00282501" w:rsidP="00282501">
      <w:pPr>
        <w:spacing w:line="360" w:lineRule="auto"/>
        <w:jc w:val="both"/>
        <w:rPr>
          <w:rFonts w:ascii="Century Gothic" w:hAnsi="Century Gothic"/>
          <w:sz w:val="22"/>
          <w:szCs w:val="22"/>
        </w:rPr>
      </w:pPr>
    </w:p>
    <w:p w:rsidR="00282501" w:rsidRPr="003B0967" w:rsidRDefault="00282501" w:rsidP="00282501">
      <w:pPr>
        <w:spacing w:line="360" w:lineRule="auto"/>
        <w:jc w:val="both"/>
        <w:rPr>
          <w:rFonts w:ascii="Century Gothic" w:hAnsi="Century Gothic"/>
          <w:sz w:val="22"/>
          <w:szCs w:val="22"/>
        </w:rPr>
      </w:pPr>
      <w:r w:rsidRPr="003B0967">
        <w:rPr>
          <w:rFonts w:ascii="Century Gothic" w:hAnsi="Century Gothic"/>
          <w:sz w:val="22"/>
          <w:szCs w:val="22"/>
        </w:rPr>
        <w:lastRenderedPageBreak/>
        <w:t xml:space="preserve">En este contexto neoliberal, las prácticas educativas críticas tienen que ampliar el universo de lecturas y de aporopiaciones de la realidad, de los individuos y  de los grupos involucrados, desarrollando actitudes y aptitudes con las que éstos puedan restablecer la palabra, la condición  de  resistencia, rebeldía, rehabilitar el diálogo, el respeto, la creatividad, la esperanza y la indignación. </w:t>
      </w:r>
    </w:p>
    <w:p w:rsidR="00282501" w:rsidRPr="003B0967" w:rsidRDefault="00282501" w:rsidP="00282501">
      <w:pPr>
        <w:spacing w:line="360" w:lineRule="auto"/>
        <w:jc w:val="both"/>
        <w:rPr>
          <w:rFonts w:ascii="Century Gothic" w:hAnsi="Century Gothic"/>
          <w:sz w:val="22"/>
          <w:szCs w:val="22"/>
        </w:rPr>
      </w:pPr>
    </w:p>
    <w:p w:rsidR="00282501" w:rsidRPr="003B0967" w:rsidRDefault="00282501" w:rsidP="00282501">
      <w:pPr>
        <w:spacing w:line="360" w:lineRule="auto"/>
        <w:ind w:left="1080" w:right="581"/>
        <w:jc w:val="both"/>
        <w:rPr>
          <w:rFonts w:ascii="Century Gothic" w:hAnsi="Century Gothic"/>
          <w:sz w:val="22"/>
          <w:szCs w:val="22"/>
        </w:rPr>
      </w:pPr>
      <w:r w:rsidRPr="003B0967">
        <w:rPr>
          <w:rFonts w:ascii="Century Gothic" w:hAnsi="Century Gothic"/>
          <w:sz w:val="22"/>
          <w:szCs w:val="22"/>
        </w:rPr>
        <w:t>“Es preciso que en la resistencia que nos preserva vivos, en la comprensión  del futuro como problema y en la vocación para ser más como expresión de la naturaleza humana en proceso de estar siendo, tengamos fundamentos para nuestra rebeldía y no para nuestra resignación ante las ofensas que destruyen nuestro ser. No nos afirmamos en la resignación sino en la rebeldía ante las injusticias.”</w:t>
      </w:r>
      <w:r w:rsidRPr="003B0967">
        <w:rPr>
          <w:rStyle w:val="Refdenotaalpie"/>
          <w:rFonts w:ascii="Century Gothic" w:hAnsi="Century Gothic"/>
          <w:sz w:val="22"/>
          <w:szCs w:val="22"/>
        </w:rPr>
        <w:footnoteReference w:id="16"/>
      </w:r>
    </w:p>
    <w:p w:rsidR="00282501" w:rsidRPr="003B0967" w:rsidRDefault="00282501" w:rsidP="00282501">
      <w:pPr>
        <w:spacing w:line="360" w:lineRule="auto"/>
        <w:jc w:val="both"/>
        <w:rPr>
          <w:rFonts w:ascii="Century Gothic" w:hAnsi="Century Gothic"/>
          <w:sz w:val="22"/>
          <w:szCs w:val="22"/>
        </w:rPr>
      </w:pPr>
    </w:p>
    <w:p w:rsidR="00282501" w:rsidRPr="003B0967" w:rsidRDefault="00282501" w:rsidP="00282501">
      <w:pPr>
        <w:spacing w:line="360" w:lineRule="auto"/>
        <w:jc w:val="both"/>
        <w:rPr>
          <w:rFonts w:ascii="Century Gothic" w:hAnsi="Century Gothic"/>
          <w:sz w:val="22"/>
          <w:szCs w:val="22"/>
        </w:rPr>
      </w:pPr>
      <w:r w:rsidRPr="003B0967">
        <w:rPr>
          <w:rFonts w:ascii="Century Gothic" w:hAnsi="Century Gothic"/>
          <w:sz w:val="22"/>
          <w:szCs w:val="22"/>
        </w:rPr>
        <w:t xml:space="preserve">Es decir que puedan restablecer la autonomía y la solidaridad  entendidas como la reconstrucción de la creatividad social  desde la que se participa y se decide sobre el uso, la producción y la pertenencia de los bienes materiales y simbólicos que se requieren para la satisfacción de las necesidades individuales y  colectivas . </w:t>
      </w:r>
    </w:p>
    <w:p w:rsidR="00282501" w:rsidRPr="003B0967" w:rsidRDefault="00282501" w:rsidP="00282501">
      <w:pPr>
        <w:tabs>
          <w:tab w:val="left" w:pos="7680"/>
        </w:tabs>
        <w:spacing w:line="360" w:lineRule="auto"/>
        <w:ind w:left="1080" w:right="821"/>
        <w:jc w:val="both"/>
        <w:rPr>
          <w:rFonts w:ascii="Century Gothic" w:hAnsi="Century Gothic"/>
          <w:i/>
          <w:sz w:val="22"/>
          <w:szCs w:val="22"/>
        </w:rPr>
      </w:pPr>
      <w:r w:rsidRPr="003B0967">
        <w:rPr>
          <w:rFonts w:ascii="Century Gothic" w:hAnsi="Century Gothic"/>
          <w:i/>
          <w:sz w:val="22"/>
          <w:szCs w:val="22"/>
        </w:rPr>
        <w:t>“Es fundamental la práctica de pensar para afrontar los nuevos desafíos que  nos plantean hoy  las innovaciones tecnológicas en cuanto a la libertad de crear. Una educación en la que la libertad de crear sea viable tiene necesariamente que estimular la superación del miedo a la aventura responsable, tiene que ir mas allá del gusto mediocre de la repetición por la repetición, tiene que hacer evidente a los educandos que errar no es pecado, sino un momento normal del proceso gnoseológico.”</w:t>
      </w:r>
      <w:r w:rsidRPr="003B0967">
        <w:rPr>
          <w:rStyle w:val="Refdenotaalpie"/>
          <w:rFonts w:ascii="Century Gothic" w:hAnsi="Century Gothic"/>
          <w:i/>
          <w:sz w:val="22"/>
          <w:szCs w:val="22"/>
        </w:rPr>
        <w:footnoteReference w:id="17"/>
      </w:r>
    </w:p>
    <w:p w:rsidR="00282501" w:rsidRPr="003B0967" w:rsidRDefault="00282501" w:rsidP="00282501">
      <w:pPr>
        <w:tabs>
          <w:tab w:val="left" w:pos="7680"/>
        </w:tabs>
        <w:spacing w:line="360" w:lineRule="auto"/>
        <w:ind w:left="1080" w:right="821"/>
        <w:jc w:val="both"/>
        <w:rPr>
          <w:rFonts w:ascii="Century Gothic" w:hAnsi="Century Gothic"/>
          <w:i/>
          <w:sz w:val="22"/>
          <w:szCs w:val="22"/>
        </w:rPr>
      </w:pPr>
    </w:p>
    <w:p w:rsidR="00282501" w:rsidRPr="003B0967" w:rsidRDefault="00282501" w:rsidP="00282501">
      <w:pPr>
        <w:spacing w:line="360" w:lineRule="auto"/>
        <w:jc w:val="both"/>
        <w:rPr>
          <w:rFonts w:ascii="Century Gothic" w:hAnsi="Century Gothic"/>
          <w:sz w:val="22"/>
          <w:szCs w:val="22"/>
        </w:rPr>
      </w:pPr>
      <w:r w:rsidRPr="003B0967">
        <w:rPr>
          <w:rFonts w:ascii="Century Gothic" w:hAnsi="Century Gothic"/>
          <w:sz w:val="22"/>
          <w:szCs w:val="22"/>
        </w:rPr>
        <w:t xml:space="preserve">En definitiva, si el propósito de la educación alternativa, crítica, popular es  la construcción y consolidación de culturas  y sujetos democráticos,   requerimos </w:t>
      </w:r>
      <w:r w:rsidRPr="003B0967">
        <w:rPr>
          <w:rFonts w:ascii="Century Gothic" w:hAnsi="Century Gothic"/>
          <w:sz w:val="22"/>
          <w:szCs w:val="22"/>
        </w:rPr>
        <w:lastRenderedPageBreak/>
        <w:t>asumir  creativamente que todo esto es posible, también en las instituciones educativas, y  el reconocer esa posibilidad se constituirá en dirección y contenido de los quehaceres pedagógicos.</w:t>
      </w:r>
    </w:p>
    <w:p w:rsidR="00282501" w:rsidRPr="003B0967" w:rsidRDefault="00282501" w:rsidP="00282501">
      <w:pPr>
        <w:spacing w:line="360" w:lineRule="auto"/>
        <w:jc w:val="both"/>
        <w:rPr>
          <w:rFonts w:ascii="Century Gothic" w:hAnsi="Century Gothic"/>
          <w:sz w:val="22"/>
          <w:szCs w:val="22"/>
        </w:rPr>
      </w:pPr>
    </w:p>
    <w:p w:rsidR="00282501" w:rsidRDefault="00282501" w:rsidP="00282501">
      <w:pPr>
        <w:spacing w:line="360" w:lineRule="auto"/>
        <w:jc w:val="both"/>
        <w:rPr>
          <w:rFonts w:ascii="Century Gothic" w:hAnsi="Century Gothic"/>
          <w:i/>
          <w:sz w:val="22"/>
          <w:szCs w:val="22"/>
        </w:rPr>
      </w:pPr>
      <w:r w:rsidRPr="003B0967">
        <w:rPr>
          <w:rFonts w:ascii="Century Gothic" w:hAnsi="Century Gothic"/>
          <w:sz w:val="22"/>
          <w:szCs w:val="22"/>
        </w:rPr>
        <w:t xml:space="preserve">Sin duda es un reto que  vale la pena asumir, pero es imposible si no lo deseamos, si no restablecemos el impulso creativo que nos permite soñar en un país donde la vida  sea posible y donde los otros, los excluidos, puedan llegar a ser sujetos capaces de ejercer democráticamente  sus derechos como ciudadanos.  Por </w:t>
      </w:r>
      <w:r w:rsidRPr="003B0967">
        <w:rPr>
          <w:rFonts w:ascii="Century Gothic" w:hAnsi="Century Gothic"/>
          <w:i/>
          <w:sz w:val="22"/>
          <w:szCs w:val="22"/>
        </w:rPr>
        <w:t>ello Freire, como educador afirmaba: “En cuanto presencia en la historia y en el mundo lucho esperanzadamente por el sueño, por la utopía, por la esperanza, en la perspectiva de una pedagogía crítica. Y esta no es una lucha frívola.”</w:t>
      </w:r>
      <w:r w:rsidRPr="003B0967">
        <w:rPr>
          <w:rStyle w:val="Refdenotaalpie"/>
          <w:rFonts w:ascii="Century Gothic" w:hAnsi="Century Gothic"/>
          <w:i/>
          <w:sz w:val="22"/>
          <w:szCs w:val="22"/>
        </w:rPr>
        <w:footnoteReference w:id="18"/>
      </w:r>
      <w:r w:rsidRPr="003B0967">
        <w:rPr>
          <w:rFonts w:ascii="Century Gothic" w:hAnsi="Century Gothic"/>
          <w:i/>
          <w:sz w:val="22"/>
          <w:szCs w:val="22"/>
        </w:rPr>
        <w:t xml:space="preserve"> </w:t>
      </w:r>
    </w:p>
    <w:p w:rsidR="00282501" w:rsidRPr="003B0967" w:rsidRDefault="00282501" w:rsidP="00282501">
      <w:pPr>
        <w:spacing w:line="360" w:lineRule="auto"/>
        <w:jc w:val="both"/>
        <w:rPr>
          <w:rFonts w:ascii="Century Gothic" w:hAnsi="Century Gothic"/>
          <w:sz w:val="22"/>
          <w:szCs w:val="22"/>
        </w:rPr>
      </w:pPr>
    </w:p>
    <w:p w:rsidR="00282501" w:rsidRDefault="00282501" w:rsidP="00282501">
      <w:pPr>
        <w:spacing w:line="360" w:lineRule="auto"/>
        <w:jc w:val="both"/>
        <w:rPr>
          <w:rFonts w:ascii="Century Gothic" w:hAnsi="Century Gothic"/>
          <w:sz w:val="22"/>
          <w:szCs w:val="22"/>
        </w:rPr>
      </w:pPr>
      <w:r w:rsidRPr="003B0967">
        <w:rPr>
          <w:rFonts w:ascii="Century Gothic" w:hAnsi="Century Gothic"/>
          <w:sz w:val="22"/>
          <w:szCs w:val="22"/>
        </w:rPr>
        <w:t xml:space="preserve">Medellín, </w:t>
      </w:r>
    </w:p>
    <w:p w:rsidR="002E122D" w:rsidRDefault="002E122D">
      <w:bookmarkStart w:id="0" w:name="_GoBack"/>
      <w:bookmarkEnd w:id="0"/>
    </w:p>
    <w:sectPr w:rsidR="002E122D" w:rsidSect="002E122D">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474" w:rsidRDefault="005B4474" w:rsidP="00282501">
      <w:r>
        <w:separator/>
      </w:r>
    </w:p>
  </w:endnote>
  <w:endnote w:type="continuationSeparator" w:id="0">
    <w:p w:rsidR="005B4474" w:rsidRDefault="005B4474" w:rsidP="0028250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474" w:rsidRDefault="005B4474" w:rsidP="00282501">
      <w:r>
        <w:separator/>
      </w:r>
    </w:p>
  </w:footnote>
  <w:footnote w:type="continuationSeparator" w:id="0">
    <w:p w:rsidR="005B4474" w:rsidRDefault="005B4474" w:rsidP="00282501">
      <w:r>
        <w:continuationSeparator/>
      </w:r>
    </w:p>
  </w:footnote>
  <w:footnote w:id="1">
    <w:p w:rsidR="00282501" w:rsidRDefault="00282501" w:rsidP="00282501">
      <w:pPr>
        <w:pStyle w:val="Textonotapie"/>
        <w:rPr>
          <w:lang w:val="es-ES_tradnl"/>
        </w:rPr>
      </w:pPr>
      <w:r w:rsidRPr="00CA3799">
        <w:rPr>
          <w:rStyle w:val="Refdenotaalpie"/>
        </w:rPr>
        <w:sym w:font="Symbol" w:char="F02A"/>
      </w:r>
      <w:r>
        <w:t xml:space="preserve"> </w:t>
      </w:r>
      <w:r>
        <w:rPr>
          <w:lang w:val="es-ES_tradnl"/>
        </w:rPr>
        <w:t xml:space="preserve">Educador Popular, profesor e investigador  en </w:t>
      </w:r>
      <w:smartTag w:uri="urn:schemas-microsoft-com:office:smarttags" w:element="PersonName">
        <w:smartTagPr>
          <w:attr w:name="ProductID" w:val="la Fundaci￳n Universitaria"/>
        </w:smartTagPr>
        <w:smartTag w:uri="urn:schemas-microsoft-com:office:smarttags" w:element="PersonName">
          <w:smartTagPr>
            <w:attr w:name="ProductID" w:val="la Fundaci￳n"/>
          </w:smartTagPr>
          <w:r>
            <w:rPr>
              <w:lang w:val="es-ES_tradnl"/>
            </w:rPr>
            <w:t>la Fundación</w:t>
          </w:r>
        </w:smartTag>
        <w:r>
          <w:rPr>
            <w:lang w:val="es-ES_tradnl"/>
          </w:rPr>
          <w:t xml:space="preserve"> Universitaria</w:t>
        </w:r>
      </w:smartTag>
      <w:r>
        <w:rPr>
          <w:lang w:val="es-ES_tradnl"/>
        </w:rPr>
        <w:t xml:space="preserve"> Luís Amigo y en </w:t>
      </w:r>
      <w:smartTag w:uri="urn:schemas-microsoft-com:office:smarttags" w:element="PersonName">
        <w:smartTagPr>
          <w:attr w:name="ProductID" w:val="la Universidad"/>
        </w:smartTagPr>
        <w:r>
          <w:rPr>
            <w:lang w:val="es-ES_tradnl"/>
          </w:rPr>
          <w:t>la Universidad</w:t>
        </w:r>
      </w:smartTag>
      <w:r>
        <w:rPr>
          <w:lang w:val="es-ES_tradnl"/>
        </w:rPr>
        <w:t xml:space="preserve"> de Antioquia. Coordinador del Centro de Estudios Socioeducativos Freire, Medellín </w:t>
      </w:r>
      <w:hyperlink r:id="rId1" w:history="1">
        <w:r w:rsidRPr="00B32F0B">
          <w:rPr>
            <w:rStyle w:val="Hipervnculo"/>
            <w:lang w:val="es-ES_tradnl"/>
          </w:rPr>
          <w:t>alfredogh@epm.net.co</w:t>
        </w:r>
      </w:hyperlink>
    </w:p>
    <w:p w:rsidR="00282501" w:rsidRPr="00CA3799" w:rsidRDefault="00282501" w:rsidP="00282501">
      <w:pPr>
        <w:pStyle w:val="Textonotapie"/>
        <w:rPr>
          <w:lang w:val="es-ES_tradnl"/>
        </w:rPr>
      </w:pPr>
    </w:p>
  </w:footnote>
  <w:footnote w:id="2">
    <w:p w:rsidR="00282501" w:rsidRPr="009F57BF" w:rsidRDefault="00282501" w:rsidP="00282501">
      <w:pPr>
        <w:pStyle w:val="Textonotapie"/>
        <w:rPr>
          <w:lang w:val="es-ES_tradnl"/>
        </w:rPr>
      </w:pPr>
      <w:r>
        <w:rPr>
          <w:rStyle w:val="Refdenotaalpie"/>
        </w:rPr>
        <w:footnoteRef/>
      </w:r>
      <w:r>
        <w:t xml:space="preserve"> </w:t>
      </w:r>
      <w:r>
        <w:rPr>
          <w:lang w:val="es-ES_tradnl"/>
        </w:rPr>
        <w:t>Freire Paulo Pedagogía del Oprimido. México, SXXI, 1979, p119</w:t>
      </w:r>
    </w:p>
  </w:footnote>
  <w:footnote w:id="3">
    <w:p w:rsidR="00282501" w:rsidRPr="00883873" w:rsidRDefault="00282501" w:rsidP="00282501">
      <w:pPr>
        <w:pStyle w:val="Textonotapie"/>
        <w:rPr>
          <w:lang w:val="es-ES_tradnl"/>
        </w:rPr>
      </w:pPr>
      <w:r>
        <w:rPr>
          <w:rStyle w:val="Refdenotaalpie"/>
        </w:rPr>
        <w:footnoteRef/>
      </w:r>
      <w:r>
        <w:t xml:space="preserve"> </w:t>
      </w:r>
      <w:r>
        <w:rPr>
          <w:lang w:val="es-ES_tradnl"/>
        </w:rPr>
        <w:t xml:space="preserve">Ibíd. P 121 </w:t>
      </w:r>
    </w:p>
  </w:footnote>
  <w:footnote w:id="4">
    <w:p w:rsidR="00282501" w:rsidRPr="00883873" w:rsidRDefault="00282501" w:rsidP="00282501">
      <w:pPr>
        <w:pStyle w:val="Textonotapie"/>
        <w:rPr>
          <w:lang w:val="es-ES_tradnl"/>
        </w:rPr>
      </w:pPr>
      <w:r>
        <w:rPr>
          <w:rStyle w:val="Refdenotaalpie"/>
        </w:rPr>
        <w:footnoteRef/>
      </w:r>
      <w:r>
        <w:t xml:space="preserve"> </w:t>
      </w:r>
      <w:r>
        <w:rPr>
          <w:lang w:val="es-ES_tradnl"/>
        </w:rPr>
        <w:t xml:space="preserve">Ibíd. P 120 </w:t>
      </w:r>
    </w:p>
  </w:footnote>
  <w:footnote w:id="5">
    <w:p w:rsidR="00282501" w:rsidRPr="00881008" w:rsidRDefault="00282501" w:rsidP="00282501">
      <w:pPr>
        <w:pStyle w:val="Textonotapie"/>
        <w:ind w:left="708" w:hanging="708"/>
        <w:rPr>
          <w:lang w:val="es-ES_tradnl"/>
        </w:rPr>
      </w:pPr>
      <w:r>
        <w:rPr>
          <w:rStyle w:val="Refdenotaalpie"/>
        </w:rPr>
        <w:footnoteRef/>
      </w:r>
      <w:r>
        <w:t xml:space="preserve"> </w:t>
      </w:r>
      <w:r>
        <w:rPr>
          <w:lang w:val="es-ES_tradnl"/>
        </w:rPr>
        <w:t>Freire Paulo Pedagogía de la indignación.  Madrid, Morata . 2001.  p. 87,88</w:t>
      </w:r>
    </w:p>
  </w:footnote>
  <w:footnote w:id="6">
    <w:p w:rsidR="00282501" w:rsidRPr="007D1C20" w:rsidRDefault="00282501" w:rsidP="00282501">
      <w:pPr>
        <w:pStyle w:val="Textonotapie"/>
        <w:rPr>
          <w:lang w:val="es-ES_tradnl"/>
        </w:rPr>
      </w:pPr>
      <w:r>
        <w:rPr>
          <w:rStyle w:val="Refdenotaalpie"/>
        </w:rPr>
        <w:footnoteRef/>
      </w:r>
      <w:r>
        <w:t xml:space="preserve"> </w:t>
      </w:r>
      <w:r>
        <w:rPr>
          <w:lang w:val="es-ES_tradnl"/>
        </w:rPr>
        <w:t>Torres Jurjo Educación en tiempos de neoliberalismo. Madrid Morata. 2001.  p.164</w:t>
      </w:r>
    </w:p>
  </w:footnote>
  <w:footnote w:id="7">
    <w:p w:rsidR="00282501" w:rsidRPr="0013095D" w:rsidRDefault="00282501" w:rsidP="00282501">
      <w:pPr>
        <w:pStyle w:val="Textonotapie"/>
        <w:rPr>
          <w:lang w:val="en-US"/>
        </w:rPr>
      </w:pPr>
      <w:r>
        <w:rPr>
          <w:rStyle w:val="Refdenotaalpie"/>
        </w:rPr>
        <w:footnoteRef/>
      </w:r>
      <w:r w:rsidRPr="0013095D">
        <w:rPr>
          <w:lang w:val="en-US"/>
        </w:rPr>
        <w:t xml:space="preserve"> ob.cit. Freire, Paulo 2001, p. 67</w:t>
      </w:r>
    </w:p>
  </w:footnote>
  <w:footnote w:id="8">
    <w:p w:rsidR="00282501" w:rsidRPr="007E40B8" w:rsidRDefault="00282501" w:rsidP="00282501">
      <w:pPr>
        <w:pStyle w:val="Textonotapie"/>
        <w:rPr>
          <w:lang w:val="es-ES_tradnl"/>
        </w:rPr>
      </w:pPr>
      <w:r>
        <w:rPr>
          <w:rStyle w:val="Refdenotaalpie"/>
        </w:rPr>
        <w:footnoteRef/>
      </w:r>
      <w:r>
        <w:t xml:space="preserve"> </w:t>
      </w:r>
      <w:r>
        <w:rPr>
          <w:lang w:val="es-ES_tradnl"/>
        </w:rPr>
        <w:t>Ibid. P.164</w:t>
      </w:r>
    </w:p>
  </w:footnote>
  <w:footnote w:id="9">
    <w:p w:rsidR="00282501" w:rsidRPr="00775DF4" w:rsidRDefault="00282501" w:rsidP="00282501">
      <w:pPr>
        <w:pStyle w:val="Textonotapie"/>
        <w:rPr>
          <w:lang w:val="es-ES_tradnl"/>
        </w:rPr>
      </w:pPr>
      <w:r>
        <w:rPr>
          <w:rStyle w:val="Refdenotaalpie"/>
        </w:rPr>
        <w:footnoteRef/>
      </w:r>
      <w:r>
        <w:t xml:space="preserve"> </w:t>
      </w:r>
      <w:r>
        <w:rPr>
          <w:lang w:val="es-ES_tradnl"/>
        </w:rPr>
        <w:t xml:space="preserve">Paulo Freire ¨ Educación en la ciudad” México, SXXI,; 1997 p. 104 </w:t>
      </w:r>
    </w:p>
  </w:footnote>
  <w:footnote w:id="10">
    <w:p w:rsidR="00282501" w:rsidRPr="001C56DD" w:rsidRDefault="00282501" w:rsidP="00282501">
      <w:pPr>
        <w:pStyle w:val="Textonotapie"/>
        <w:rPr>
          <w:lang w:val="es-ES_tradnl"/>
        </w:rPr>
      </w:pPr>
      <w:r>
        <w:rPr>
          <w:rStyle w:val="Refdenotaalpie"/>
        </w:rPr>
        <w:footnoteRef/>
      </w:r>
      <w:r>
        <w:t xml:space="preserve"> </w:t>
      </w:r>
      <w:r>
        <w:rPr>
          <w:lang w:val="es-ES_tradnl"/>
        </w:rPr>
        <w:t>Ibíd.  p. 105</w:t>
      </w:r>
    </w:p>
  </w:footnote>
  <w:footnote w:id="11">
    <w:p w:rsidR="00282501" w:rsidRPr="007967C6" w:rsidRDefault="00282501" w:rsidP="00282501">
      <w:pPr>
        <w:pStyle w:val="Textonotapie"/>
        <w:rPr>
          <w:lang w:val="es-ES_tradnl"/>
        </w:rPr>
      </w:pPr>
      <w:r>
        <w:rPr>
          <w:rStyle w:val="Refdenotaalpie"/>
        </w:rPr>
        <w:footnoteRef/>
      </w:r>
      <w:r>
        <w:t xml:space="preserve"> </w:t>
      </w:r>
      <w:r>
        <w:rPr>
          <w:lang w:val="es-ES_tradnl"/>
        </w:rPr>
        <w:t>Ibíd.  p.104</w:t>
      </w:r>
    </w:p>
  </w:footnote>
  <w:footnote w:id="12">
    <w:p w:rsidR="00282501" w:rsidRPr="00BA1DD5" w:rsidRDefault="00282501" w:rsidP="00282501">
      <w:pPr>
        <w:pStyle w:val="Textonotapie"/>
        <w:rPr>
          <w:lang w:val="es-ES_tradnl"/>
        </w:rPr>
      </w:pPr>
      <w:r>
        <w:rPr>
          <w:rStyle w:val="Refdenotaalpie"/>
        </w:rPr>
        <w:footnoteRef/>
      </w:r>
      <w:r>
        <w:t xml:space="preserve"> </w:t>
      </w:r>
      <w:r>
        <w:rPr>
          <w:lang w:val="es-ES_tradnl"/>
        </w:rPr>
        <w:t>Op.cit  2001, p. 66-67</w:t>
      </w:r>
    </w:p>
  </w:footnote>
  <w:footnote w:id="13">
    <w:p w:rsidR="00282501" w:rsidRPr="006C37F8" w:rsidRDefault="00282501" w:rsidP="00282501">
      <w:pPr>
        <w:pStyle w:val="Textonotapie"/>
        <w:rPr>
          <w:lang w:val="es-ES_tradnl"/>
        </w:rPr>
      </w:pPr>
      <w:r>
        <w:rPr>
          <w:rStyle w:val="Refdenotaalpie"/>
        </w:rPr>
        <w:footnoteRef/>
      </w:r>
      <w:r>
        <w:t xml:space="preserve"> </w:t>
      </w:r>
      <w:r>
        <w:rPr>
          <w:lang w:val="es-ES_tradnl"/>
        </w:rPr>
        <w:t xml:space="preserve">ob.cit. 1979; p.100-101 </w:t>
      </w:r>
    </w:p>
  </w:footnote>
  <w:footnote w:id="14">
    <w:p w:rsidR="00282501" w:rsidRPr="007F669A" w:rsidRDefault="00282501" w:rsidP="00282501">
      <w:pPr>
        <w:pStyle w:val="Textonotapie"/>
        <w:rPr>
          <w:lang w:val="es-ES_tradnl"/>
        </w:rPr>
      </w:pPr>
      <w:r>
        <w:rPr>
          <w:rStyle w:val="Refdenotaalpie"/>
        </w:rPr>
        <w:footnoteRef/>
      </w:r>
      <w:r>
        <w:t xml:space="preserve"> </w:t>
      </w:r>
      <w:r>
        <w:rPr>
          <w:lang w:val="es-ES_tradnl"/>
        </w:rPr>
        <w:t>Ibíd.. P.101</w:t>
      </w:r>
    </w:p>
  </w:footnote>
  <w:footnote w:id="15">
    <w:p w:rsidR="00282501" w:rsidRPr="007F669A" w:rsidRDefault="00282501" w:rsidP="00282501">
      <w:pPr>
        <w:pStyle w:val="Textonotapie"/>
        <w:rPr>
          <w:lang w:val="es-ES_tradnl"/>
        </w:rPr>
      </w:pPr>
      <w:r>
        <w:rPr>
          <w:rStyle w:val="Refdenotaalpie"/>
        </w:rPr>
        <w:footnoteRef/>
      </w:r>
      <w:r>
        <w:t xml:space="preserve"> </w:t>
      </w:r>
      <w:r>
        <w:rPr>
          <w:lang w:val="es-ES_tradnl"/>
        </w:rPr>
        <w:t>Ibíd.. P.106</w:t>
      </w:r>
    </w:p>
    <w:p w:rsidR="00282501" w:rsidRPr="007F669A" w:rsidRDefault="00282501" w:rsidP="00282501">
      <w:pPr>
        <w:pStyle w:val="Textonotapie"/>
        <w:rPr>
          <w:lang w:val="es-ES_tradnl"/>
        </w:rPr>
      </w:pPr>
    </w:p>
  </w:footnote>
  <w:footnote w:id="16">
    <w:p w:rsidR="00282501" w:rsidRPr="007E577F" w:rsidRDefault="00282501" w:rsidP="00282501">
      <w:pPr>
        <w:pStyle w:val="Textonotapie"/>
        <w:rPr>
          <w:lang w:val="es-ES_tradnl"/>
        </w:rPr>
      </w:pPr>
      <w:r>
        <w:rPr>
          <w:rStyle w:val="Refdenotaalpie"/>
        </w:rPr>
        <w:footnoteRef/>
      </w:r>
      <w:r>
        <w:t xml:space="preserve"> </w:t>
      </w:r>
      <w:r>
        <w:rPr>
          <w:lang w:val="es-ES_tradnl"/>
        </w:rPr>
        <w:t xml:space="preserve">ob.cit. 2001, p . 91 </w:t>
      </w:r>
    </w:p>
  </w:footnote>
  <w:footnote w:id="17">
    <w:p w:rsidR="00282501" w:rsidRPr="007E577F" w:rsidRDefault="00282501" w:rsidP="00282501">
      <w:pPr>
        <w:pStyle w:val="Textonotapie"/>
        <w:rPr>
          <w:lang w:val="es-ES_tradnl"/>
        </w:rPr>
      </w:pPr>
      <w:r>
        <w:rPr>
          <w:rStyle w:val="Refdenotaalpie"/>
        </w:rPr>
        <w:footnoteRef/>
      </w:r>
      <w:r>
        <w:t xml:space="preserve"> </w:t>
      </w:r>
      <w:r>
        <w:rPr>
          <w:lang w:val="es-ES_tradnl"/>
        </w:rPr>
        <w:t>Ibíd  p.111</w:t>
      </w:r>
    </w:p>
  </w:footnote>
  <w:footnote w:id="18">
    <w:p w:rsidR="00282501" w:rsidRPr="003B0967" w:rsidRDefault="00282501" w:rsidP="00282501">
      <w:pPr>
        <w:pStyle w:val="Textonotapie"/>
        <w:rPr>
          <w:lang w:val="es-ES_tradnl"/>
        </w:rPr>
      </w:pPr>
      <w:r>
        <w:rPr>
          <w:rStyle w:val="Refdenotaalpie"/>
        </w:rPr>
        <w:footnoteRef/>
      </w:r>
      <w:r>
        <w:t xml:space="preserve"> </w:t>
      </w:r>
      <w:r>
        <w:rPr>
          <w:lang w:val="es-ES_tradnl"/>
        </w:rPr>
        <w:t>Ibíd  p.128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65595E"/>
    <w:multiLevelType w:val="hybridMultilevel"/>
    <w:tmpl w:val="AE18454A"/>
    <w:lvl w:ilvl="0" w:tplc="79D8C728">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360"/>
        </w:tabs>
        <w:ind w:left="-360" w:hanging="360"/>
      </w:pPr>
      <w:rPr>
        <w:rFonts w:ascii="Courier New" w:hAnsi="Courier New" w:cs="Courier New" w:hint="default"/>
      </w:rPr>
    </w:lvl>
    <w:lvl w:ilvl="2" w:tplc="0C0A0005" w:tentative="1">
      <w:start w:val="1"/>
      <w:numFmt w:val="bullet"/>
      <w:lvlText w:val=""/>
      <w:lvlJc w:val="left"/>
      <w:pPr>
        <w:tabs>
          <w:tab w:val="num" w:pos="360"/>
        </w:tabs>
        <w:ind w:left="360" w:hanging="360"/>
      </w:pPr>
      <w:rPr>
        <w:rFonts w:ascii="Wingdings" w:hAnsi="Wingdings" w:hint="default"/>
      </w:rPr>
    </w:lvl>
    <w:lvl w:ilvl="3" w:tplc="0C0A0001" w:tentative="1">
      <w:start w:val="1"/>
      <w:numFmt w:val="bullet"/>
      <w:lvlText w:val=""/>
      <w:lvlJc w:val="left"/>
      <w:pPr>
        <w:tabs>
          <w:tab w:val="num" w:pos="1080"/>
        </w:tabs>
        <w:ind w:left="1080" w:hanging="360"/>
      </w:pPr>
      <w:rPr>
        <w:rFonts w:ascii="Symbol" w:hAnsi="Symbol" w:hint="default"/>
      </w:rPr>
    </w:lvl>
    <w:lvl w:ilvl="4" w:tplc="0C0A0003" w:tentative="1">
      <w:start w:val="1"/>
      <w:numFmt w:val="bullet"/>
      <w:lvlText w:val="o"/>
      <w:lvlJc w:val="left"/>
      <w:pPr>
        <w:tabs>
          <w:tab w:val="num" w:pos="1800"/>
        </w:tabs>
        <w:ind w:left="1800" w:hanging="360"/>
      </w:pPr>
      <w:rPr>
        <w:rFonts w:ascii="Courier New" w:hAnsi="Courier New" w:cs="Courier New" w:hint="default"/>
      </w:rPr>
    </w:lvl>
    <w:lvl w:ilvl="5" w:tplc="0C0A0005" w:tentative="1">
      <w:start w:val="1"/>
      <w:numFmt w:val="bullet"/>
      <w:lvlText w:val=""/>
      <w:lvlJc w:val="left"/>
      <w:pPr>
        <w:tabs>
          <w:tab w:val="num" w:pos="2520"/>
        </w:tabs>
        <w:ind w:left="2520" w:hanging="360"/>
      </w:pPr>
      <w:rPr>
        <w:rFonts w:ascii="Wingdings" w:hAnsi="Wingdings" w:hint="default"/>
      </w:rPr>
    </w:lvl>
    <w:lvl w:ilvl="6" w:tplc="0C0A0001" w:tentative="1">
      <w:start w:val="1"/>
      <w:numFmt w:val="bullet"/>
      <w:lvlText w:val=""/>
      <w:lvlJc w:val="left"/>
      <w:pPr>
        <w:tabs>
          <w:tab w:val="num" w:pos="3240"/>
        </w:tabs>
        <w:ind w:left="3240" w:hanging="360"/>
      </w:pPr>
      <w:rPr>
        <w:rFonts w:ascii="Symbol" w:hAnsi="Symbol" w:hint="default"/>
      </w:rPr>
    </w:lvl>
    <w:lvl w:ilvl="7" w:tplc="0C0A0003" w:tentative="1">
      <w:start w:val="1"/>
      <w:numFmt w:val="bullet"/>
      <w:lvlText w:val="o"/>
      <w:lvlJc w:val="left"/>
      <w:pPr>
        <w:tabs>
          <w:tab w:val="num" w:pos="3960"/>
        </w:tabs>
        <w:ind w:left="3960" w:hanging="360"/>
      </w:pPr>
      <w:rPr>
        <w:rFonts w:ascii="Courier New" w:hAnsi="Courier New" w:cs="Courier New" w:hint="default"/>
      </w:rPr>
    </w:lvl>
    <w:lvl w:ilvl="8" w:tplc="0C0A0005" w:tentative="1">
      <w:start w:val="1"/>
      <w:numFmt w:val="bullet"/>
      <w:lvlText w:val=""/>
      <w:lvlJc w:val="left"/>
      <w:pPr>
        <w:tabs>
          <w:tab w:val="num" w:pos="4680"/>
        </w:tabs>
        <w:ind w:left="46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282501"/>
    <w:rsid w:val="0013095D"/>
    <w:rsid w:val="00282501"/>
    <w:rsid w:val="002E122D"/>
    <w:rsid w:val="00320BCF"/>
    <w:rsid w:val="003B274E"/>
    <w:rsid w:val="003C76DE"/>
    <w:rsid w:val="004B77AC"/>
    <w:rsid w:val="005A19D6"/>
    <w:rsid w:val="005B4474"/>
    <w:rsid w:val="0060726E"/>
    <w:rsid w:val="006C2F8E"/>
    <w:rsid w:val="007039BC"/>
    <w:rsid w:val="0097401C"/>
    <w:rsid w:val="00986C37"/>
    <w:rsid w:val="00B57324"/>
    <w:rsid w:val="00BC0DFE"/>
    <w:rsid w:val="00C13F34"/>
    <w:rsid w:val="00DE734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501"/>
    <w:pPr>
      <w:jc w:val="left"/>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282501"/>
    <w:rPr>
      <w:sz w:val="20"/>
      <w:szCs w:val="20"/>
    </w:rPr>
  </w:style>
  <w:style w:type="character" w:customStyle="1" w:styleId="TextonotapieCar">
    <w:name w:val="Texto nota pie Car"/>
    <w:basedOn w:val="Fuentedeprrafopredeter"/>
    <w:link w:val="Textonotapie"/>
    <w:semiHidden/>
    <w:rsid w:val="00282501"/>
    <w:rPr>
      <w:rFonts w:ascii="Times New Roman" w:eastAsia="Times New Roman" w:hAnsi="Times New Roman" w:cs="Times New Roman"/>
      <w:sz w:val="20"/>
      <w:szCs w:val="20"/>
      <w:lang w:val="es-ES" w:eastAsia="es-ES"/>
    </w:rPr>
  </w:style>
  <w:style w:type="character" w:styleId="Refdenotaalpie">
    <w:name w:val="footnote reference"/>
    <w:basedOn w:val="Fuentedeprrafopredeter"/>
    <w:semiHidden/>
    <w:rsid w:val="00282501"/>
    <w:rPr>
      <w:vertAlign w:val="superscript"/>
    </w:rPr>
  </w:style>
  <w:style w:type="character" w:styleId="Hipervnculo">
    <w:name w:val="Hyperlink"/>
    <w:basedOn w:val="Fuentedeprrafopredeter"/>
    <w:rsid w:val="0028250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501"/>
    <w:pPr>
      <w:jc w:val="left"/>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282501"/>
    <w:rPr>
      <w:sz w:val="20"/>
      <w:szCs w:val="20"/>
    </w:rPr>
  </w:style>
  <w:style w:type="character" w:customStyle="1" w:styleId="TextonotapieCar">
    <w:name w:val="Texto nota pie Car"/>
    <w:basedOn w:val="Fuentedeprrafopredeter"/>
    <w:link w:val="Textonotapie"/>
    <w:semiHidden/>
    <w:rsid w:val="00282501"/>
    <w:rPr>
      <w:rFonts w:ascii="Times New Roman" w:eastAsia="Times New Roman" w:hAnsi="Times New Roman" w:cs="Times New Roman"/>
      <w:sz w:val="20"/>
      <w:szCs w:val="20"/>
      <w:lang w:val="es-ES" w:eastAsia="es-ES"/>
    </w:rPr>
  </w:style>
  <w:style w:type="character" w:styleId="Refdenotaalpie">
    <w:name w:val="footnote reference"/>
    <w:basedOn w:val="Fuentedeprrafopredeter"/>
    <w:semiHidden/>
    <w:rsid w:val="00282501"/>
    <w:rPr>
      <w:vertAlign w:val="superscript"/>
    </w:rPr>
  </w:style>
  <w:style w:type="character" w:styleId="Hipervnculo">
    <w:name w:val="Hyperlink"/>
    <w:basedOn w:val="Fuentedeprrafopredeter"/>
    <w:rsid w:val="0028250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mailto:alfredogh@epm.net.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3604</Words>
  <Characters>19824</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alfredo</dc:creator>
  <cp:lastModifiedBy>Cristina Piedrahita</cp:lastModifiedBy>
  <cp:revision>2</cp:revision>
  <dcterms:created xsi:type="dcterms:W3CDTF">2013-05-04T00:16:00Z</dcterms:created>
  <dcterms:modified xsi:type="dcterms:W3CDTF">2013-05-04T00:16:00Z</dcterms:modified>
</cp:coreProperties>
</file>